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8411" w14:textId="77777777" w:rsidR="002E7385" w:rsidRDefault="00000000">
      <w:pPr>
        <w:spacing w:after="240"/>
        <w:jc w:val="center"/>
      </w:pPr>
      <w:r>
        <w:rPr>
          <w:b/>
          <w:bCs/>
          <w:color w:val="1F4E5F"/>
          <w:sz w:val="32"/>
          <w:szCs w:val="32"/>
        </w:rPr>
        <w:t>Capstone Project — Part B Project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0"/>
        <w:gridCol w:w="1716"/>
        <w:gridCol w:w="1921"/>
        <w:gridCol w:w="1921"/>
        <w:gridCol w:w="2008"/>
      </w:tblGrid>
      <w:tr w:rsidR="001A0065" w:rsidRPr="001A0065" w14:paraId="0FEB8593" w14:textId="77777777" w:rsidTr="001A0065">
        <w:tc>
          <w:tcPr>
            <w:tcW w:w="1970" w:type="dxa"/>
          </w:tcPr>
          <w:p w14:paraId="7096DAAB" w14:textId="0CD5C64D" w:rsidR="001A0065" w:rsidRPr="001A0065" w:rsidRDefault="001A0065" w:rsidP="00934455">
            <w:pPr>
              <w:spacing w:after="90"/>
              <w:rPr>
                <w:u w:val="single"/>
              </w:rPr>
            </w:pPr>
            <w:r w:rsidRPr="001A0065">
              <w:rPr>
                <w:b/>
                <w:bCs/>
              </w:rPr>
              <w:t xml:space="preserve">Student Name(s): </w:t>
            </w:r>
          </w:p>
        </w:tc>
        <w:tc>
          <w:tcPr>
            <w:tcW w:w="1716" w:type="dxa"/>
          </w:tcPr>
          <w:p w14:paraId="25AE2C80" w14:textId="45E71C97" w:rsidR="001A0065" w:rsidRPr="001A0065" w:rsidRDefault="001A0065" w:rsidP="00934455">
            <w:pPr>
              <w:spacing w:after="90"/>
            </w:pPr>
            <w:r w:rsidRPr="001A0065">
              <w:t>Ashraful Islam</w:t>
            </w:r>
          </w:p>
        </w:tc>
        <w:tc>
          <w:tcPr>
            <w:tcW w:w="1921" w:type="dxa"/>
          </w:tcPr>
          <w:p w14:paraId="664FB373" w14:textId="7B812D27" w:rsidR="001A0065" w:rsidRPr="001A0065" w:rsidRDefault="001A0065" w:rsidP="00934455">
            <w:pPr>
              <w:spacing w:after="90"/>
            </w:pPr>
            <w:r w:rsidRPr="001A0065">
              <w:t xml:space="preserve"> Huzaifa Iqbal</w:t>
            </w:r>
          </w:p>
        </w:tc>
        <w:tc>
          <w:tcPr>
            <w:tcW w:w="1921" w:type="dxa"/>
          </w:tcPr>
          <w:p w14:paraId="1AA4412F" w14:textId="77777777" w:rsidR="001A0065" w:rsidRPr="001A0065" w:rsidRDefault="001A0065" w:rsidP="00934455">
            <w:pPr>
              <w:spacing w:after="90"/>
            </w:pPr>
            <w:r w:rsidRPr="001A0065">
              <w:t xml:space="preserve"> Sonu</w:t>
            </w:r>
          </w:p>
        </w:tc>
        <w:tc>
          <w:tcPr>
            <w:tcW w:w="2008" w:type="dxa"/>
          </w:tcPr>
          <w:p w14:paraId="2A656BF6" w14:textId="77777777" w:rsidR="001A0065" w:rsidRPr="001A0065" w:rsidRDefault="001A0065" w:rsidP="00934455">
            <w:pPr>
              <w:spacing w:after="90"/>
            </w:pPr>
            <w:r w:rsidRPr="001A0065">
              <w:t xml:space="preserve"> Dominic Kipchirchir</w:t>
            </w:r>
          </w:p>
        </w:tc>
      </w:tr>
      <w:tr w:rsidR="001A0065" w14:paraId="611CEAD7" w14:textId="77777777" w:rsidTr="001A0065">
        <w:tc>
          <w:tcPr>
            <w:tcW w:w="1970" w:type="dxa"/>
          </w:tcPr>
          <w:p w14:paraId="59701DA3" w14:textId="2C5C3C59" w:rsidR="001A0065" w:rsidRPr="001A0065" w:rsidRDefault="001A0065" w:rsidP="00934455">
            <w:pPr>
              <w:spacing w:after="90"/>
              <w:rPr>
                <w:u w:val="single"/>
              </w:rPr>
            </w:pPr>
            <w:r w:rsidRPr="001A0065">
              <w:rPr>
                <w:b/>
                <w:bCs/>
              </w:rPr>
              <w:t xml:space="preserve">Student ID(s): </w:t>
            </w:r>
          </w:p>
        </w:tc>
        <w:tc>
          <w:tcPr>
            <w:tcW w:w="1716" w:type="dxa"/>
          </w:tcPr>
          <w:p w14:paraId="37125050" w14:textId="54B2DB32" w:rsidR="001A0065" w:rsidRPr="001A0065" w:rsidRDefault="001A0065" w:rsidP="00934455">
            <w:pPr>
              <w:spacing w:after="90"/>
            </w:pPr>
            <w:r w:rsidRPr="001A0065">
              <w:t>240135</w:t>
            </w:r>
          </w:p>
        </w:tc>
        <w:tc>
          <w:tcPr>
            <w:tcW w:w="1921" w:type="dxa"/>
          </w:tcPr>
          <w:p w14:paraId="3D2DC9C3" w14:textId="25EE03BE" w:rsidR="001A0065" w:rsidRPr="001A0065" w:rsidRDefault="001A0065" w:rsidP="00934455">
            <w:pPr>
              <w:spacing w:after="90"/>
            </w:pPr>
            <w:r w:rsidRPr="001A0065">
              <w:t xml:space="preserve"> 240220</w:t>
            </w:r>
          </w:p>
        </w:tc>
        <w:tc>
          <w:tcPr>
            <w:tcW w:w="1921" w:type="dxa"/>
          </w:tcPr>
          <w:p w14:paraId="20A205A0" w14:textId="77777777" w:rsidR="001A0065" w:rsidRPr="001A0065" w:rsidRDefault="001A0065" w:rsidP="00934455">
            <w:pPr>
              <w:spacing w:after="90"/>
            </w:pPr>
            <w:r w:rsidRPr="001A0065">
              <w:t xml:space="preserve"> 250001</w:t>
            </w:r>
          </w:p>
        </w:tc>
        <w:tc>
          <w:tcPr>
            <w:tcW w:w="2008" w:type="dxa"/>
          </w:tcPr>
          <w:p w14:paraId="02BE7F0E" w14:textId="77777777" w:rsidR="001A0065" w:rsidRPr="001A0065" w:rsidRDefault="001A0065" w:rsidP="00934455">
            <w:pPr>
              <w:spacing w:after="90"/>
            </w:pPr>
            <w:r w:rsidRPr="001A0065">
              <w:t xml:space="preserve"> 240401</w:t>
            </w:r>
          </w:p>
        </w:tc>
      </w:tr>
    </w:tbl>
    <w:p w14:paraId="6446BB88" w14:textId="2B5B81FF" w:rsidR="002E7385" w:rsidRDefault="002E7385">
      <w:pPr>
        <w:spacing w:after="90"/>
      </w:pPr>
    </w:p>
    <w:p w14:paraId="0895454C" w14:textId="77777777" w:rsidR="002E7385" w:rsidRPr="00EA7115" w:rsidRDefault="00000000">
      <w:pPr>
        <w:spacing w:after="90"/>
        <w:rPr>
          <w:rStyle w:val="Strong"/>
        </w:rPr>
      </w:pPr>
      <w:r w:rsidRPr="00EA7115">
        <w:rPr>
          <w:rStyle w:val="Strong"/>
        </w:rPr>
        <w:t>Project Title: SEDAS — Social Engineering Defence and Awareness System (implementation of the Part A design by Ashraful Islam, MIS5203)</w:t>
      </w:r>
    </w:p>
    <w:p w14:paraId="619035DF" w14:textId="77777777" w:rsidR="002E7385" w:rsidRPr="00EA7115" w:rsidRDefault="00000000">
      <w:pPr>
        <w:spacing w:after="90"/>
      </w:pPr>
      <w:r w:rsidRPr="00EA7115">
        <w:rPr>
          <w:b/>
          <w:bCs/>
        </w:rPr>
        <w:t xml:space="preserve">Supervisor: </w:t>
      </w:r>
      <w:r w:rsidRPr="00EA7115">
        <w:t>Dr Chandana Withana</w:t>
      </w:r>
    </w:p>
    <w:p w14:paraId="746F8DDD" w14:textId="77777777" w:rsidR="002E7385" w:rsidRPr="00EA7115" w:rsidRDefault="00000000">
      <w:pPr>
        <w:spacing w:after="90"/>
      </w:pPr>
      <w:r w:rsidRPr="00EA7115">
        <w:rPr>
          <w:b/>
          <w:bCs/>
        </w:rPr>
        <w:t xml:space="preserve">Week: </w:t>
      </w:r>
      <w:r w:rsidRPr="00EA7115">
        <w:t>2 and 3 (combined submission)</w:t>
      </w:r>
    </w:p>
    <w:p w14:paraId="76A26007" w14:textId="700B4D6D" w:rsidR="002E7385" w:rsidRPr="00EA7115" w:rsidRDefault="00000000">
      <w:pPr>
        <w:spacing w:after="90"/>
      </w:pPr>
      <w:r w:rsidRPr="00EA7115">
        <w:rPr>
          <w:b/>
          <w:bCs/>
        </w:rPr>
        <w:t xml:space="preserve">Git Repository URL: </w:t>
      </w:r>
      <w:hyperlink r:id="rId5" w:history="1">
        <w:r w:rsidRPr="00EA7115">
          <w:rPr>
            <w:rStyle w:val="Hyperlink"/>
          </w:rPr>
          <w:t>https://github.com/ailinkon/MIS5320-SEDAS-CyberProjectB</w:t>
        </w:r>
      </w:hyperlink>
      <w:r w:rsidRPr="00EA7115">
        <w:t xml:space="preserve"> (private; supervisor holds collaborator access)</w:t>
      </w:r>
    </w:p>
    <w:p w14:paraId="4E4AD96A" w14:textId="77777777" w:rsidR="002E7385" w:rsidRDefault="00000000">
      <w:pPr>
        <w:pStyle w:val="Heading1"/>
        <w:spacing w:before="340" w:after="150"/>
      </w:pPr>
      <w:r>
        <w:rPr>
          <w:b/>
          <w:bCs/>
          <w:color w:val="1F4E5F"/>
          <w:sz w:val="28"/>
          <w:szCs w:val="28"/>
        </w:rPr>
        <w:t>1. Summary of Work Completed</w:t>
      </w:r>
    </w:p>
    <w:p w14:paraId="28838E80" w14:textId="77777777" w:rsidR="002E7385" w:rsidRDefault="00000000">
      <w:pPr>
        <w:spacing w:after="130" w:line="276" w:lineRule="auto"/>
        <w:jc w:val="both"/>
      </w:pPr>
      <w:r>
        <w:t>Weeks 2 and 3 covered the Unified Process Construction phase: benchmark establishment, two further services implemented, the system integrated end to end behind a working interface, and module ownership distributed across the team.</w:t>
      </w:r>
    </w:p>
    <w:p w14:paraId="59FE99EB" w14:textId="77777777" w:rsidR="002E7385" w:rsidRDefault="00000000">
      <w:pPr>
        <w:pStyle w:val="Heading2"/>
        <w:spacing w:before="260" w:after="110"/>
      </w:pPr>
      <w:r>
        <w:rPr>
          <w:b/>
          <w:bCs/>
          <w:color w:val="1F4E5F"/>
          <w:sz w:val="23"/>
          <w:szCs w:val="23"/>
        </w:rPr>
        <w:t>1.1 Benchmark establishment (supervisor priority)</w:t>
      </w:r>
    </w:p>
    <w:p w14:paraId="1763A8E9" w14:textId="0EC48034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Source paper identified.</w:t>
      </w:r>
      <w:r>
        <w:t xml:space="preserve"> </w:t>
      </w:r>
      <w:r w:rsidR="00E04929" w:rsidRPr="00E04929">
        <w:t>This project uses as its benchmark Reference [41], a 2024 paper on a phishing email detection platform published by Al-</w:t>
      </w:r>
      <w:proofErr w:type="spellStart"/>
      <w:r w:rsidR="00E04929" w:rsidRPr="00E04929">
        <w:t>Subaiey</w:t>
      </w:r>
      <w:proofErr w:type="spellEnd"/>
      <w:r w:rsidR="00E04929" w:rsidRPr="00E04929">
        <w:t xml:space="preserve"> et al. in Computers and Electrical Engineering, and advances work in line with the sequence of preceding references [1]</w:t>
      </w:r>
      <w:proofErr w:type="gramStart"/>
      <w:r w:rsidR="00E04929" w:rsidRPr="00E04929">
        <w:t>–[</w:t>
      </w:r>
      <w:proofErr w:type="gramEnd"/>
      <w:r w:rsidR="00E04929" w:rsidRPr="00E04929">
        <w:t>40]</w:t>
      </w:r>
      <w:r>
        <w:t>.</w:t>
      </w:r>
    </w:p>
    <w:p w14:paraId="6553B2A2" w14:textId="620365DD" w:rsidR="002E7385" w:rsidRDefault="00000000" w:rsidP="00E04929">
      <w:pPr>
        <w:pStyle w:val="ListParagraph"/>
        <w:numPr>
          <w:ilvl w:val="0"/>
          <w:numId w:val="2"/>
        </w:numPr>
        <w:spacing w:after="80" w:line="270" w:lineRule="auto"/>
      </w:pPr>
      <w:r w:rsidRPr="00E04929">
        <w:rPr>
          <w:b/>
          <w:bCs/>
        </w:rPr>
        <w:t>Exact dataset match confirmed.</w:t>
      </w:r>
      <w:r>
        <w:t xml:space="preserve"> </w:t>
      </w:r>
      <w:r w:rsidR="00E04929">
        <w:t>After cleaning null values, we obtained 82,486 usable email data entries. This is an</w:t>
      </w:r>
      <w:r w:rsidR="00E04929">
        <w:t xml:space="preserve"> </w:t>
      </w:r>
      <w:r w:rsidR="00E04929">
        <w:t xml:space="preserve">exact match for all specifications from the source paper: the source paper’s sample size of 42,891 phishing emails and 39,595 legitimate emails, its six public data sources, and its merged field </w:t>
      </w:r>
      <w:proofErr w:type="spellStart"/>
      <w:r w:rsidR="00E04929">
        <w:t>textcombined</w:t>
      </w:r>
      <w:proofErr w:type="spellEnd"/>
      <w:r w:rsidR="00E04929">
        <w:t xml:space="preserve"> all</w:t>
      </w:r>
      <w:r w:rsidR="00E04929">
        <w:t xml:space="preserve"> </w:t>
      </w:r>
      <w:r w:rsidR="00E04929">
        <w:t>align fully with our dataset</w:t>
      </w:r>
      <w:r>
        <w:t>.</w:t>
      </w:r>
    </w:p>
    <w:p w14:paraId="56F8CF56" w14:textId="215F11CA" w:rsidR="002E7385" w:rsidRDefault="00000000" w:rsidP="00D45CAF">
      <w:pPr>
        <w:pStyle w:val="ListParagraph"/>
        <w:numPr>
          <w:ilvl w:val="0"/>
          <w:numId w:val="2"/>
        </w:numPr>
        <w:spacing w:after="80" w:line="270" w:lineRule="auto"/>
      </w:pPr>
      <w:r w:rsidRPr="00D45CAF">
        <w:rPr>
          <w:b/>
          <w:bCs/>
        </w:rPr>
        <w:t>Replication executed.</w:t>
      </w:r>
      <w:r>
        <w:t xml:space="preserve"> </w:t>
      </w:r>
      <w:r w:rsidR="00D45CAF">
        <w:t xml:space="preserve">We ran </w:t>
      </w:r>
      <w:r w:rsidR="0088793A" w:rsidRPr="0088793A">
        <w:t>services/detection/</w:t>
      </w:r>
      <w:proofErr w:type="spellStart"/>
      <w:r w:rsidR="0088793A" w:rsidRPr="0088793A">
        <w:t>compare_models.py</w:t>
      </w:r>
      <w:r w:rsidR="00D45CAF">
        <w:t>script</w:t>
      </w:r>
      <w:proofErr w:type="spellEnd"/>
      <w:r w:rsidR="00D45CAF">
        <w:t xml:space="preserve"> to reproduce the source paper’s TF-IDF + SVM workflow. The F1 score of 0.9916 we achieved is consistent with the source paper’s reported</w:t>
      </w:r>
      <w:r w:rsidR="00D45CAF">
        <w:t xml:space="preserve"> </w:t>
      </w:r>
      <w:r w:rsidR="00D45CAF">
        <w:t>score of 0.99</w:t>
      </w:r>
      <w:r>
        <w:t>.</w:t>
      </w:r>
    </w:p>
    <w:p w14:paraId="2236F1F5" w14:textId="2CF615EC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Documented.</w:t>
      </w:r>
      <w:r>
        <w:t xml:space="preserve"> </w:t>
      </w:r>
      <w:r w:rsidR="00E04929" w:rsidRPr="00E04929">
        <w:t>we drafted the document Dataset and Benchmark Justification for our advisor’s review, linked the corresponding references, embedded the reproduction evidence, and completed the archiving process</w:t>
      </w:r>
      <w:r>
        <w:t>.</w:t>
      </w:r>
    </w:p>
    <w:p w14:paraId="30ED0412" w14:textId="77777777" w:rsidR="002E7385" w:rsidRDefault="00000000">
      <w:pPr>
        <w:pStyle w:val="Heading2"/>
        <w:spacing w:before="260" w:after="110"/>
      </w:pPr>
      <w:r>
        <w:rPr>
          <w:b/>
          <w:bCs/>
          <w:color w:val="1F4E5F"/>
          <w:sz w:val="23"/>
          <w:szCs w:val="23"/>
        </w:rPr>
        <w:t>1.2 URL Verification Service (FR-03, FR-04; refinement R-01)</w:t>
      </w:r>
    </w:p>
    <w:p w14:paraId="0FC1E5A2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Analysis layer.</w:t>
      </w:r>
      <w:r>
        <w:t xml:space="preserve"> Heuristic URL risk analysis: absence of HTTPS, raw IP address, '@' obfuscation, multiple hyphens, excessive subdomain depth, high-risk TLDs, known shorteners, abnormal length, and credential-lure keywords — each returning a plain-English finding with a weighted risk score.</w:t>
      </w:r>
    </w:p>
    <w:p w14:paraId="1C932915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Tamper-evident registry.</w:t>
      </w:r>
      <w:r>
        <w:t xml:space="preserve"> SHA-256 hash-chained, append-only SQLite registry: each entry hashes its own content plus the previous entry's hash, so any modification breaks the chain. Endpoints: POST /verify, POST /report, GET /chain/validate, GET /health on port 8002.</w:t>
      </w:r>
    </w:p>
    <w:p w14:paraId="549BCB11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Design rationale.</w:t>
      </w:r>
      <w:r>
        <w:t xml:space="preserve"> This delivers the tamper-evidence intent of the Part A blockchain layer without Ethereum gas fees, wallet infrastructure or block latency, per refinement R-01. Limitation recorded: the proof of concept provides tamper-evidence, not decentralised consensus.</w:t>
      </w:r>
    </w:p>
    <w:p w14:paraId="77CA2D1B" w14:textId="77777777" w:rsidR="002E7385" w:rsidRDefault="00000000">
      <w:pPr>
        <w:pStyle w:val="Heading2"/>
        <w:spacing w:before="260" w:after="110"/>
      </w:pPr>
      <w:r>
        <w:rPr>
          <w:b/>
          <w:bCs/>
          <w:color w:val="1F4E5F"/>
          <w:sz w:val="23"/>
          <w:szCs w:val="23"/>
        </w:rPr>
        <w:t>1.3 Frontend integration (FR-07 groundwork)</w:t>
      </w:r>
    </w:p>
    <w:p w14:paraId="22314E29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lastRenderedPageBreak/>
        <w:t>Live demo page.</w:t>
      </w:r>
      <w:r>
        <w:t xml:space="preserve"> frontend/demo.html — a single-file interface calling both services: verdict badges, risk scores out of 100, explainability/finding chips, registry proof display and latency readout. CORS middleware added to both services (permissive for local demonstration; restriction recorded as a security finding).</w:t>
      </w:r>
    </w:p>
    <w:p w14:paraId="58903D5B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End-to-end integration verified.</w:t>
      </w:r>
      <w:r>
        <w:t xml:space="preserve"> Browser → detection service (port 8001) and URL service (port 8002) → responses rendered, in single-digit to low-double-digit milliseconds.</w:t>
      </w:r>
    </w:p>
    <w:p w14:paraId="308EAA52" w14:textId="77777777" w:rsidR="002E7385" w:rsidRDefault="00000000">
      <w:pPr>
        <w:pStyle w:val="Heading2"/>
        <w:spacing w:before="260" w:after="110"/>
      </w:pPr>
      <w:r>
        <w:rPr>
          <w:b/>
          <w:bCs/>
          <w:color w:val="1F4E5F"/>
          <w:sz w:val="23"/>
          <w:szCs w:val="23"/>
        </w:rPr>
        <w:t>1.4 Awareness Training Module scaffold (FR-05, FR-06)</w:t>
      </w:r>
    </w:p>
    <w:p w14:paraId="6C28D298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Database schema.</w:t>
      </w:r>
      <w:r>
        <w:t xml:space="preserve"> Four tables — users (persona, risk score), lessons (persona, difficulty, body), questions (four options, correct answer, explanation), attempts (append-only history).</w:t>
      </w:r>
    </w:p>
    <w:p w14:paraId="75240402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Service endpoints.</w:t>
      </w:r>
      <w:r>
        <w:t xml:space="preserve"> POST /users, GET /lessons, GET /lessons/{code}/quiz (answers withheld from the client), POST /submit, GET /progress/{username}, GET /health on port 8003.</w:t>
      </w:r>
    </w:p>
    <w:p w14:paraId="01BAA50F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Content seeded.</w:t>
      </w:r>
      <w:r>
        <w:t xml:space="preserve"> Five starter micro-lessons and seven quiz questions seeded, mapped to attack vectors from the Part A review and grounded in the Theory of Planned Behaviour.</w:t>
      </w:r>
    </w:p>
    <w:p w14:paraId="705AEC50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Ownership.</w:t>
      </w:r>
      <w:r>
        <w:t xml:space="preserve"> The scoring engine (attempt scoring, EWMA risk update, risk banding, adaptive lesson selection) is specified and stubbed for its module owner, with a written technical brief and test specification.</w:t>
      </w:r>
    </w:p>
    <w:p w14:paraId="6B28BE49" w14:textId="77777777" w:rsidR="002E7385" w:rsidRDefault="00000000">
      <w:pPr>
        <w:pStyle w:val="Heading2"/>
        <w:spacing w:before="260" w:after="110"/>
      </w:pPr>
      <w:r>
        <w:rPr>
          <w:b/>
          <w:bCs/>
          <w:color w:val="1F4E5F"/>
          <w:sz w:val="23"/>
          <w:szCs w:val="23"/>
        </w:rPr>
        <w:t>1.5 Team distribution and preparation</w:t>
      </w:r>
    </w:p>
    <w:p w14:paraId="1518E5CA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RACI finalised.</w:t>
      </w:r>
      <w:r>
        <w:t xml:space="preserve"> Module ownership formalised in the project plan RACI across thirteen activities with a single accountable owner each: detection/URL/frontend (Ashraful), training scoring engine (Dominic), awareness content and project records (Sonu), security assessment/testing/user documentation (Huzaifa).</w:t>
      </w:r>
    </w:p>
    <w:p w14:paraId="7734462E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Individual briefs issued.</w:t>
      </w:r>
      <w:r>
        <w:t xml:space="preserve"> Each member received a technical brief covering their module's purpose, specification, tests to write, commit workflow and viva questions; a shared 47-question viva preparation document was issued covering the project, the benchmark comparison and each module.</w:t>
      </w:r>
    </w:p>
    <w:p w14:paraId="2B753DB6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Repository access.</w:t>
      </w:r>
      <w:r>
        <w:t xml:space="preserve"> Supervisor added as repository collaborator; branch-based workflow with pull-request review adopted for team contributions.</w:t>
      </w:r>
    </w:p>
    <w:p w14:paraId="4BCD3147" w14:textId="77777777" w:rsidR="002E7385" w:rsidRDefault="00000000">
      <w:r>
        <w:br w:type="page"/>
      </w:r>
    </w:p>
    <w:p w14:paraId="19E8598C" w14:textId="77777777" w:rsidR="002E7385" w:rsidRDefault="00000000">
      <w:pPr>
        <w:pStyle w:val="Heading1"/>
        <w:spacing w:before="340" w:after="150"/>
      </w:pPr>
      <w:r>
        <w:rPr>
          <w:b/>
          <w:bCs/>
          <w:color w:val="1F4E5F"/>
          <w:sz w:val="28"/>
          <w:szCs w:val="28"/>
        </w:rPr>
        <w:lastRenderedPageBreak/>
        <w:t>2. Evidence of Technical Progress</w:t>
      </w:r>
    </w:p>
    <w:p w14:paraId="01C000CB" w14:textId="77777777" w:rsidR="002E7385" w:rsidRDefault="00000000">
      <w:pPr>
        <w:pStyle w:val="Heading2"/>
        <w:spacing w:before="260" w:after="110"/>
      </w:pPr>
      <w:r>
        <w:rPr>
          <w:b/>
          <w:bCs/>
          <w:color w:val="1F4E5F"/>
          <w:sz w:val="23"/>
          <w:szCs w:val="23"/>
        </w:rPr>
        <w:t>2.1 Benchmark replication</w:t>
      </w:r>
    </w:p>
    <w:p w14:paraId="3DEB1050" w14:textId="77777777" w:rsidR="002E7385" w:rsidRDefault="00000000">
      <w:pPr>
        <w:spacing w:before="140" w:after="40"/>
        <w:jc w:val="center"/>
      </w:pPr>
      <w:r>
        <w:rPr>
          <w:noProof/>
        </w:rPr>
        <w:drawing>
          <wp:inline distT="0" distB="0" distL="0" distR="0" wp14:anchorId="7AB23564" wp14:editId="21B72FF8">
            <wp:extent cx="3810000" cy="447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D991D" w14:textId="77777777" w:rsidR="002E7385" w:rsidRDefault="00000000">
      <w:pPr>
        <w:spacing w:after="170"/>
        <w:jc w:val="center"/>
      </w:pPr>
      <w:r>
        <w:rPr>
          <w:i/>
          <w:iCs/>
          <w:color w:val="555555"/>
          <w:sz w:val="18"/>
          <w:szCs w:val="18"/>
        </w:rPr>
        <w:t xml:space="preserve">Execution of compare_models.py on the full 82,486-email corpus: Logistic Regression baseline F1 0.9865 (FP 0.0144) and </w:t>
      </w:r>
      <w:proofErr w:type="spellStart"/>
      <w:r>
        <w:rPr>
          <w:i/>
          <w:iCs/>
          <w:color w:val="555555"/>
          <w:sz w:val="18"/>
          <w:szCs w:val="18"/>
        </w:rPr>
        <w:t>LinearSVC</w:t>
      </w:r>
      <w:proofErr w:type="spellEnd"/>
      <w:r>
        <w:rPr>
          <w:i/>
          <w:iCs/>
          <w:color w:val="555555"/>
          <w:sz w:val="18"/>
          <w:szCs w:val="18"/>
        </w:rPr>
        <w:t xml:space="preserve"> benchmark replication F1 0.9916 (FP 0.0095), against the published [41] result of 0.99 on identical data.</w:t>
      </w:r>
    </w:p>
    <w:p w14:paraId="3947EC64" w14:textId="77777777" w:rsidR="002E7385" w:rsidRDefault="00000000">
      <w:pPr>
        <w:pStyle w:val="Heading2"/>
        <w:spacing w:before="260" w:after="110"/>
      </w:pPr>
      <w:r>
        <w:rPr>
          <w:b/>
          <w:bCs/>
          <w:color w:val="1F4E5F"/>
          <w:sz w:val="23"/>
          <w:szCs w:val="23"/>
        </w:rPr>
        <w:t>2.2 URL verification service</w:t>
      </w:r>
    </w:p>
    <w:p w14:paraId="17447FBD" w14:textId="77777777" w:rsidR="002E7385" w:rsidRDefault="00000000">
      <w:pPr>
        <w:spacing w:before="140" w:after="40"/>
        <w:jc w:val="center"/>
      </w:pPr>
      <w:r>
        <w:rPr>
          <w:noProof/>
        </w:rPr>
        <w:drawing>
          <wp:inline distT="0" distB="0" distL="0" distR="0" wp14:anchorId="0BB813A4" wp14:editId="2FD62630">
            <wp:extent cx="5334000" cy="3133725"/>
            <wp:effectExtent l="0" t="0" r="0" b="0"/>
            <wp:docPr id="1902974346" name="Picture 1902974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52D1C" w14:textId="77777777" w:rsidR="002E7385" w:rsidRDefault="00000000">
      <w:pPr>
        <w:spacing w:after="170"/>
        <w:jc w:val="center"/>
      </w:pPr>
      <w:r>
        <w:rPr>
          <w:i/>
          <w:iCs/>
          <w:color w:val="555555"/>
          <w:sz w:val="18"/>
          <w:szCs w:val="18"/>
        </w:rPr>
        <w:t xml:space="preserve">POST /verify on an unreported suspicious URL: verdict 'suspicious', heuristic risk 75/100, four findings returned (no HTTPS, multiple hyphens, high-risk TLD, credential-lure keywords), 9.3 </w:t>
      </w:r>
      <w:proofErr w:type="spellStart"/>
      <w:r>
        <w:rPr>
          <w:i/>
          <w:iCs/>
          <w:color w:val="555555"/>
          <w:sz w:val="18"/>
          <w:szCs w:val="18"/>
        </w:rPr>
        <w:t>ms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28004E89" w14:textId="77777777" w:rsidR="002E7385" w:rsidRDefault="00000000">
      <w:pPr>
        <w:spacing w:before="140" w:after="40"/>
        <w:jc w:val="center"/>
      </w:pPr>
      <w:r>
        <w:rPr>
          <w:noProof/>
        </w:rPr>
        <w:lastRenderedPageBreak/>
        <w:drawing>
          <wp:inline distT="0" distB="0" distL="0" distR="0" wp14:anchorId="4583CE56" wp14:editId="6C8F9D58">
            <wp:extent cx="5334000" cy="3133725"/>
            <wp:effectExtent l="0" t="0" r="0" b="0"/>
            <wp:docPr id="437410232" name="Picture 437410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19C90" w14:textId="77777777" w:rsidR="002E7385" w:rsidRDefault="00000000">
      <w:pPr>
        <w:spacing w:after="170"/>
        <w:jc w:val="center"/>
      </w:pPr>
      <w:r>
        <w:rPr>
          <w:i/>
          <w:iCs/>
          <w:color w:val="555555"/>
          <w:sz w:val="18"/>
          <w:szCs w:val="18"/>
        </w:rPr>
        <w:t>GET /chain/validate recomputes every hash in the registry: valid = true across all entries, demonstrating tamper-evidence (FR-04, refinement R-01).</w:t>
      </w:r>
    </w:p>
    <w:p w14:paraId="3A6FFC08" w14:textId="77777777" w:rsidR="002E7385" w:rsidRDefault="00000000">
      <w:pPr>
        <w:pStyle w:val="Heading2"/>
        <w:spacing w:before="260" w:after="110"/>
      </w:pPr>
      <w:r>
        <w:rPr>
          <w:b/>
          <w:bCs/>
          <w:color w:val="1F4E5F"/>
          <w:sz w:val="23"/>
          <w:szCs w:val="23"/>
        </w:rPr>
        <w:t>2.3 Integrated system through the frontend</w:t>
      </w:r>
    </w:p>
    <w:p w14:paraId="75248FD3" w14:textId="77777777" w:rsidR="002E7385" w:rsidRDefault="00000000">
      <w:pPr>
        <w:spacing w:before="140" w:after="40"/>
        <w:jc w:val="center"/>
      </w:pPr>
      <w:r>
        <w:rPr>
          <w:noProof/>
        </w:rPr>
        <w:drawing>
          <wp:inline distT="0" distB="0" distL="0" distR="0" wp14:anchorId="5C942C95" wp14:editId="3B7F3475">
            <wp:extent cx="5334000" cy="3133725"/>
            <wp:effectExtent l="0" t="0" r="0" b="0"/>
            <wp:docPr id="352118144" name="Picture 352118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E9874" w14:textId="77777777" w:rsidR="002E7385" w:rsidRDefault="00000000">
      <w:pPr>
        <w:spacing w:after="170"/>
        <w:jc w:val="center"/>
      </w:pPr>
      <w:r>
        <w:rPr>
          <w:i/>
          <w:iCs/>
          <w:color w:val="555555"/>
          <w:sz w:val="18"/>
          <w:szCs w:val="18"/>
        </w:rPr>
        <w:t xml:space="preserve">Detection through the interface: simulated phishing email classified PHISHING at 98.07/100 with explainable indicators (account, http, click, verify, immediately), 10.8 </w:t>
      </w:r>
      <w:proofErr w:type="spellStart"/>
      <w:r>
        <w:rPr>
          <w:i/>
          <w:iCs/>
          <w:color w:val="555555"/>
          <w:sz w:val="18"/>
          <w:szCs w:val="18"/>
        </w:rPr>
        <w:t>ms</w:t>
      </w:r>
      <w:proofErr w:type="spellEnd"/>
      <w:r>
        <w:rPr>
          <w:i/>
          <w:iCs/>
          <w:color w:val="555555"/>
          <w:sz w:val="18"/>
          <w:szCs w:val="18"/>
        </w:rPr>
        <w:t xml:space="preserve"> (FR-01, FR-02).</w:t>
      </w:r>
    </w:p>
    <w:p w14:paraId="431B44ED" w14:textId="77777777" w:rsidR="002E7385" w:rsidRDefault="00000000">
      <w:pPr>
        <w:spacing w:before="140" w:after="40"/>
        <w:jc w:val="center"/>
      </w:pPr>
      <w:r>
        <w:rPr>
          <w:noProof/>
        </w:rPr>
        <w:lastRenderedPageBreak/>
        <w:drawing>
          <wp:inline distT="0" distB="0" distL="0" distR="0" wp14:anchorId="1A0C4EAA" wp14:editId="65328149">
            <wp:extent cx="5334000" cy="3133725"/>
            <wp:effectExtent l="0" t="0" r="0" b="0"/>
            <wp:docPr id="677011001" name="Picture 67701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00713" w14:textId="77777777" w:rsidR="002E7385" w:rsidRDefault="00000000">
      <w:pPr>
        <w:spacing w:after="170"/>
        <w:jc w:val="center"/>
      </w:pPr>
      <w:r>
        <w:rPr>
          <w:i/>
          <w:iCs/>
          <w:color w:val="555555"/>
          <w:sz w:val="18"/>
          <w:szCs w:val="18"/>
        </w:rPr>
        <w:t xml:space="preserve">Contrast case: legitimate email classified LEGITIMATE at 0.85/100, 7 </w:t>
      </w:r>
      <w:proofErr w:type="spellStart"/>
      <w:r>
        <w:rPr>
          <w:i/>
          <w:iCs/>
          <w:color w:val="555555"/>
          <w:sz w:val="18"/>
          <w:szCs w:val="18"/>
        </w:rPr>
        <w:t>ms</w:t>
      </w:r>
      <w:proofErr w:type="spellEnd"/>
      <w:r>
        <w:rPr>
          <w:i/>
          <w:iCs/>
          <w:color w:val="555555"/>
          <w:sz w:val="18"/>
          <w:szCs w:val="18"/>
        </w:rPr>
        <w:t xml:space="preserve"> — consistent with the measured 1.44% false-positive rate.</w:t>
      </w:r>
    </w:p>
    <w:p w14:paraId="358C289D" w14:textId="77777777" w:rsidR="002E7385" w:rsidRDefault="00000000">
      <w:pPr>
        <w:spacing w:before="140" w:after="40"/>
        <w:jc w:val="center"/>
      </w:pPr>
      <w:r>
        <w:rPr>
          <w:noProof/>
        </w:rPr>
        <w:drawing>
          <wp:inline distT="0" distB="0" distL="0" distR="0" wp14:anchorId="5D96A9D4" wp14:editId="77FE21D3">
            <wp:extent cx="5334000" cy="3133725"/>
            <wp:effectExtent l="0" t="0" r="0" b="0"/>
            <wp:docPr id="165422365" name="Picture 165422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ED82A" w14:textId="77777777" w:rsidR="002E7385" w:rsidRDefault="00000000">
      <w:pPr>
        <w:spacing w:after="170"/>
        <w:jc w:val="center"/>
      </w:pPr>
      <w:r>
        <w:rPr>
          <w:i/>
          <w:iCs/>
          <w:color w:val="555555"/>
          <w:sz w:val="18"/>
          <w:szCs w:val="18"/>
        </w:rPr>
        <w:t xml:space="preserve">URL verification through the interface: previously reported URL returns BLOCKED at 75/100 with registry status 'malicious' and chain proof hash displayed, 1.4 </w:t>
      </w:r>
      <w:proofErr w:type="spellStart"/>
      <w:r>
        <w:rPr>
          <w:i/>
          <w:iCs/>
          <w:color w:val="555555"/>
          <w:sz w:val="18"/>
          <w:szCs w:val="18"/>
        </w:rPr>
        <w:t>ms</w:t>
      </w:r>
      <w:proofErr w:type="spellEnd"/>
      <w:r>
        <w:rPr>
          <w:i/>
          <w:iCs/>
          <w:color w:val="555555"/>
          <w:sz w:val="18"/>
          <w:szCs w:val="18"/>
        </w:rPr>
        <w:t xml:space="preserve"> (FR-03, FR-04).</w:t>
      </w:r>
    </w:p>
    <w:p w14:paraId="37B7A7E3" w14:textId="77777777" w:rsidR="002E7385" w:rsidRDefault="00000000">
      <w:r>
        <w:br w:type="page"/>
      </w:r>
    </w:p>
    <w:p w14:paraId="1BB08722" w14:textId="77777777" w:rsidR="002E7385" w:rsidRDefault="00000000">
      <w:pPr>
        <w:pStyle w:val="Heading1"/>
        <w:spacing w:before="340" w:after="150"/>
      </w:pPr>
      <w:r>
        <w:rPr>
          <w:b/>
          <w:bCs/>
          <w:color w:val="1F4E5F"/>
          <w:sz w:val="28"/>
          <w:szCs w:val="28"/>
        </w:rPr>
        <w:lastRenderedPageBreak/>
        <w:t>3. Environment &amp; Infrastructure Setup</w:t>
      </w:r>
    </w:p>
    <w:p w14:paraId="5E3CEAC2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Platform.</w:t>
      </w:r>
      <w:r>
        <w:t xml:space="preserve"> Windows 11 workstations; Python 3.14 in per-project virtual environments; Visual Studio Code; Git with GitHub Desktop.</w:t>
      </w:r>
    </w:p>
    <w:p w14:paraId="6206F249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Stack.</w:t>
      </w:r>
      <w:r>
        <w:t xml:space="preserve"> Detection — </w:t>
      </w:r>
      <w:proofErr w:type="spellStart"/>
      <w:r>
        <w:t>FastAPI</w:t>
      </w:r>
      <w:proofErr w:type="spellEnd"/>
      <w:r>
        <w:t xml:space="preserve"> + </w:t>
      </w:r>
      <w:proofErr w:type="spellStart"/>
      <w:r>
        <w:t>uvicorn</w:t>
      </w:r>
      <w:proofErr w:type="spellEnd"/>
      <w:r>
        <w:t xml:space="preserve">, scikit-learn (TF-IDF, </w:t>
      </w:r>
      <w:proofErr w:type="spellStart"/>
      <w:r>
        <w:t>LogisticRegression</w:t>
      </w:r>
      <w:proofErr w:type="spellEnd"/>
      <w:r>
        <w:t xml:space="preserve">, </w:t>
      </w:r>
      <w:proofErr w:type="spellStart"/>
      <w:r>
        <w:t>LinearSVC</w:t>
      </w:r>
      <w:proofErr w:type="spellEnd"/>
      <w:r>
        <w:t xml:space="preserve">), pandas, </w:t>
      </w:r>
      <w:proofErr w:type="spellStart"/>
      <w:r>
        <w:t>joblib</w:t>
      </w:r>
      <w:proofErr w:type="spellEnd"/>
      <w:r>
        <w:t xml:space="preserve">. URL verification —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hashlib</w:t>
      </w:r>
      <w:proofErr w:type="spellEnd"/>
      <w:r>
        <w:t xml:space="preserve"> (SHA-256), sqlite3. Training — </w:t>
      </w:r>
      <w:proofErr w:type="spellStart"/>
      <w:r>
        <w:t>FastAPI</w:t>
      </w:r>
      <w:proofErr w:type="spellEnd"/>
      <w:r>
        <w:t xml:space="preserve">, sqlite3. Frontend — HTML/CSS/vanilla JavaScript (React retained for the full dashboard). Testing — </w:t>
      </w:r>
      <w:proofErr w:type="spellStart"/>
      <w:r>
        <w:t>pytest</w:t>
      </w:r>
      <w:proofErr w:type="spellEnd"/>
      <w:r>
        <w:t xml:space="preserve"> with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TestClient</w:t>
      </w:r>
      <w:proofErr w:type="spellEnd"/>
      <w:r>
        <w:t>.</w:t>
      </w:r>
    </w:p>
    <w:p w14:paraId="3F89C43E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Service topology.</w:t>
      </w:r>
      <w:r>
        <w:t xml:space="preserve"> Three independent services on ports 8001 (detection), 8002 (URL verification) and 8003 (training), each with its own datastore and health endpoint, preserving the Part A microservice decomposition.</w:t>
      </w:r>
    </w:p>
    <w:p w14:paraId="233A63AE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Repository hygiene.</w:t>
      </w:r>
      <w:r>
        <w:t xml:space="preserve"> Datasets, trained model binaries, generated databases (</w:t>
      </w:r>
      <w:proofErr w:type="spellStart"/>
      <w:r>
        <w:t>registry.db</w:t>
      </w:r>
      <w:proofErr w:type="spellEnd"/>
      <w:r>
        <w:t xml:space="preserve">, </w:t>
      </w:r>
      <w:proofErr w:type="spellStart"/>
      <w:r>
        <w:t>training.db</w:t>
      </w:r>
      <w:proofErr w:type="spellEnd"/>
      <w:r>
        <w:t xml:space="preserve">) and virtual environments are excluded </w:t>
      </w:r>
      <w:proofErr w:type="gramStart"/>
      <w:r>
        <w:t>via .</w:t>
      </w:r>
      <w:proofErr w:type="spellStart"/>
      <w:r>
        <w:t>gitignore</w:t>
      </w:r>
      <w:proofErr w:type="spellEnd"/>
      <w:proofErr w:type="gramEnd"/>
      <w:r>
        <w:t xml:space="preserve">; configuration follows a </w:t>
      </w:r>
      <w:proofErr w:type="gramStart"/>
      <w:r>
        <w:t>committed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pattern with no secrets in version control.</w:t>
      </w:r>
    </w:p>
    <w:p w14:paraId="120EC5EF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Continuous integration.</w:t>
      </w:r>
      <w:r>
        <w:t xml:space="preserve"> GitHub Actions runs the </w:t>
      </w:r>
      <w:proofErr w:type="spellStart"/>
      <w:r>
        <w:t>pytest</w:t>
      </w:r>
      <w:proofErr w:type="spellEnd"/>
      <w:r>
        <w:t xml:space="preserve"> suite on every push and pull request. Model-dependent tests skip cleanly where the locally trained model is absent; model-free tests (including the URL verification suite) execute in CI, so the pipeline now exercises real assertions.</w:t>
      </w:r>
    </w:p>
    <w:p w14:paraId="5BCC0C62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Branching.</w:t>
      </w:r>
      <w:r>
        <w:t xml:space="preserve"> main is protected; team contributions are made on feature branches and merged through reviewed pull requests.</w:t>
      </w:r>
    </w:p>
    <w:p w14:paraId="3E03EC09" w14:textId="77777777" w:rsidR="002E7385" w:rsidRDefault="00000000">
      <w:pPr>
        <w:pStyle w:val="Heading1"/>
        <w:spacing w:before="340" w:after="150"/>
      </w:pPr>
      <w:r>
        <w:rPr>
          <w:b/>
          <w:bCs/>
          <w:color w:val="1F4E5F"/>
          <w:sz w:val="28"/>
          <w:szCs w:val="28"/>
        </w:rPr>
        <w:t>4. Testing Status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000"/>
        <w:gridCol w:w="3100"/>
        <w:gridCol w:w="2000"/>
      </w:tblGrid>
      <w:tr w:rsidR="002E7385" w14:paraId="2A6B5A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2E658" w14:textId="77777777" w:rsidR="002E738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B85FA" w14:textId="77777777" w:rsidR="002E738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Coverage</w:t>
            </w:r>
          </w:p>
        </w:tc>
        <w:tc>
          <w:tcPr>
            <w:tcW w:w="31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DF90A7" w14:textId="77777777" w:rsidR="002E738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Traced to</w:t>
            </w:r>
          </w:p>
        </w:tc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BD1F6D" w14:textId="77777777" w:rsidR="002E738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2E7385" w14:paraId="7AC541B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774DDF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TD-</w:t>
            </w:r>
            <w:proofErr w:type="gramStart"/>
            <w:r>
              <w:rPr>
                <w:sz w:val="19"/>
                <w:szCs w:val="19"/>
              </w:rPr>
              <w:t>01..</w:t>
            </w:r>
            <w:proofErr w:type="gramEnd"/>
            <w:r>
              <w:rPr>
                <w:sz w:val="19"/>
                <w:szCs w:val="19"/>
              </w:rPr>
              <w:t>TD-05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F34FE9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Detection: health, phishing detection, legitimate pass-through, explainability, latency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D66B4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FR-01, FR-02, FR-09, NFR-03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69BEB0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Passing</w:t>
            </w:r>
          </w:p>
        </w:tc>
      </w:tr>
      <w:tr w:rsidR="002E7385" w14:paraId="09B959B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774399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TU-</w:t>
            </w:r>
            <w:proofErr w:type="gramStart"/>
            <w:r>
              <w:rPr>
                <w:sz w:val="19"/>
                <w:szCs w:val="19"/>
              </w:rPr>
              <w:t>01..</w:t>
            </w:r>
            <w:proofErr w:type="gramEnd"/>
            <w:r>
              <w:rPr>
                <w:sz w:val="19"/>
                <w:szCs w:val="19"/>
              </w:rPr>
              <w:t>TU-03</w:t>
            </w:r>
          </w:p>
        </w:tc>
        <w:tc>
          <w:tcPr>
            <w:tcW w:w="30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694C48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URL verification: heuristic flagging, report-then-blocked flip with proof, chain integrity</w:t>
            </w:r>
          </w:p>
        </w:tc>
        <w:tc>
          <w:tcPr>
            <w:tcW w:w="31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A017D6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FR-03, FR-04</w:t>
            </w:r>
          </w:p>
        </w:tc>
        <w:tc>
          <w:tcPr>
            <w:tcW w:w="20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F30A0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Passing</w:t>
            </w:r>
          </w:p>
        </w:tc>
      </w:tr>
      <w:tr w:rsidR="002E7385" w14:paraId="58830F8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2C6E6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TT-</w:t>
            </w:r>
            <w:proofErr w:type="gramStart"/>
            <w:r>
              <w:rPr>
                <w:sz w:val="19"/>
                <w:szCs w:val="19"/>
              </w:rPr>
              <w:t>01..</w:t>
            </w:r>
            <w:proofErr w:type="gramEnd"/>
            <w:r>
              <w:rPr>
                <w:sz w:val="19"/>
                <w:szCs w:val="19"/>
              </w:rPr>
              <w:t>TT-05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85391A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Training: score calculation, risk EWMA up/down, risk bands, persona-aware lesson selection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C623B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FR-05, FR-06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81255C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Specified — with module owner</w:t>
            </w:r>
          </w:p>
        </w:tc>
      </w:tr>
      <w:tr w:rsidR="002E7385" w14:paraId="08F673E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F80829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TS-</w:t>
            </w:r>
            <w:proofErr w:type="gramStart"/>
            <w:r>
              <w:rPr>
                <w:sz w:val="19"/>
                <w:szCs w:val="19"/>
              </w:rPr>
              <w:t>01..</w:t>
            </w:r>
            <w:proofErr w:type="gramEnd"/>
            <w:r>
              <w:rPr>
                <w:sz w:val="19"/>
                <w:szCs w:val="19"/>
              </w:rPr>
              <w:t>TS-05</w:t>
            </w:r>
          </w:p>
        </w:tc>
        <w:tc>
          <w:tcPr>
            <w:tcW w:w="30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DDD5E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Security and negative cases: SQL metacharacter handling, empty input, unknown user 404, quiz answer withholding, health checks</w:t>
            </w:r>
          </w:p>
        </w:tc>
        <w:tc>
          <w:tcPr>
            <w:tcW w:w="31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23C24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NFR-05</w:t>
            </w:r>
          </w:p>
        </w:tc>
        <w:tc>
          <w:tcPr>
            <w:tcW w:w="20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C9CE26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Specified — with module owner</w:t>
            </w:r>
          </w:p>
        </w:tc>
      </w:tr>
    </w:tbl>
    <w:p w14:paraId="71CA36EB" w14:textId="77777777" w:rsidR="002E7385" w:rsidRDefault="00000000">
      <w:pPr>
        <w:spacing w:after="130" w:line="276" w:lineRule="auto"/>
        <w:jc w:val="both"/>
      </w:pPr>
      <w:r>
        <w:t>Current suite: 8 tests passing in 4.4 s locally and in CI. Model evaluation is reported separately against NFR-01 with full confusion matrices.</w:t>
      </w:r>
    </w:p>
    <w:p w14:paraId="75A9BDD1" w14:textId="77777777" w:rsidR="002E7385" w:rsidRDefault="00000000">
      <w:pPr>
        <w:pStyle w:val="Heading1"/>
        <w:spacing w:before="340" w:after="150"/>
      </w:pPr>
      <w:r>
        <w:rPr>
          <w:b/>
          <w:bCs/>
          <w:color w:val="1F4E5F"/>
          <w:sz w:val="28"/>
          <w:szCs w:val="28"/>
        </w:rPr>
        <w:t>5. Progress Against KPIs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2200"/>
        <w:gridCol w:w="2300"/>
        <w:gridCol w:w="1800"/>
      </w:tblGrid>
      <w:tr w:rsidR="002E7385" w14:paraId="6B45C7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E40339" w14:textId="77777777" w:rsidR="002E738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KPI (Part A §4.5)</w:t>
            </w:r>
          </w:p>
        </w:tc>
        <w:tc>
          <w:tcPr>
            <w:tcW w:w="2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5C64C5" w14:textId="77777777" w:rsidR="002E738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23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92A2DA" w14:textId="77777777" w:rsidR="002E738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  <w:tc>
          <w:tcPr>
            <w:tcW w:w="18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7E2B0A" w14:textId="77777777" w:rsidR="002E7385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2E7385" w14:paraId="00606F0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ABFD1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Detection F1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6DB222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≥ 0.95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5789E9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0.9916 (SVM) · 0.9865 (LR)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527508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Met; matches benchmark [41]</w:t>
            </w:r>
          </w:p>
        </w:tc>
      </w:tr>
      <w:tr w:rsidR="002E7385" w14:paraId="1B20D3B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901F16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False-positive rate</w:t>
            </w:r>
          </w:p>
        </w:tc>
        <w:tc>
          <w:tcPr>
            <w:tcW w:w="22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0543AB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&lt; 2%</w:t>
            </w:r>
          </w:p>
        </w:tc>
        <w:tc>
          <w:tcPr>
            <w:tcW w:w="23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01D390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0.95% (SVM) · 1.44% (LR)</w:t>
            </w:r>
          </w:p>
        </w:tc>
        <w:tc>
          <w:tcPr>
            <w:tcW w:w="18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1E2291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Met</w:t>
            </w:r>
          </w:p>
        </w:tc>
      </w:tr>
      <w:tr w:rsidR="002E7385" w14:paraId="0CB824B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65FDEC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Classification latency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CB31A8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&lt; 2,000 </w:t>
            </w:r>
            <w:proofErr w:type="spellStart"/>
            <w:r>
              <w:rPr>
                <w:sz w:val="19"/>
                <w:szCs w:val="19"/>
              </w:rPr>
              <w:t>ms</w:t>
            </w:r>
            <w:proofErr w:type="spellEnd"/>
            <w:r>
              <w:rPr>
                <w:sz w:val="19"/>
                <w:szCs w:val="19"/>
              </w:rPr>
              <w:t xml:space="preserve"> (R-05)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3CDB97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≈ 7–11 </w:t>
            </w:r>
            <w:proofErr w:type="spellStart"/>
            <w:r>
              <w:rPr>
                <w:sz w:val="19"/>
                <w:szCs w:val="19"/>
              </w:rPr>
              <w:t>ms</w:t>
            </w:r>
            <w:proofErr w:type="spellEnd"/>
            <w:r>
              <w:rPr>
                <w:sz w:val="19"/>
                <w:szCs w:val="19"/>
              </w:rPr>
              <w:t xml:space="preserve"> (CPU)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0F65D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Met</w:t>
            </w:r>
          </w:p>
        </w:tc>
      </w:tr>
      <w:tr w:rsidR="002E7385" w14:paraId="681DF2C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64DBD8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URL verification latency</w:t>
            </w:r>
          </w:p>
        </w:tc>
        <w:tc>
          <w:tcPr>
            <w:tcW w:w="22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52A7C4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&lt; 2,000 </w:t>
            </w:r>
            <w:proofErr w:type="spellStart"/>
            <w:r>
              <w:rPr>
                <w:sz w:val="19"/>
                <w:szCs w:val="19"/>
              </w:rPr>
              <w:t>ms</w:t>
            </w:r>
            <w:proofErr w:type="spellEnd"/>
            <w:r>
              <w:rPr>
                <w:sz w:val="19"/>
                <w:szCs w:val="19"/>
              </w:rPr>
              <w:t xml:space="preserve"> (R-05)</w:t>
            </w:r>
          </w:p>
        </w:tc>
        <w:tc>
          <w:tcPr>
            <w:tcW w:w="23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AC9D2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≈ 1.4–9.3 </w:t>
            </w:r>
            <w:proofErr w:type="spellStart"/>
            <w:r>
              <w:rPr>
                <w:sz w:val="19"/>
                <w:szCs w:val="19"/>
              </w:rPr>
              <w:t>ms</w:t>
            </w:r>
            <w:proofErr w:type="spellEnd"/>
          </w:p>
        </w:tc>
        <w:tc>
          <w:tcPr>
            <w:tcW w:w="18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1D38EE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Met</w:t>
            </w:r>
          </w:p>
        </w:tc>
      </w:tr>
      <w:tr w:rsidR="002E7385" w14:paraId="4FF5DC3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F7A0D8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Registry tamper-evidence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E27588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Verifiable chain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C3ADEF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chain/validate = valid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F48742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Met (PoC scope, R-01)</w:t>
            </w:r>
          </w:p>
        </w:tc>
      </w:tr>
      <w:tr w:rsidR="002E7385" w14:paraId="31E40B4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E4A1B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Risky-click reduction (RBCR)</w:t>
            </w:r>
          </w:p>
        </w:tc>
        <w:tc>
          <w:tcPr>
            <w:tcW w:w="22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3DA7A8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30% (simulated)</w:t>
            </w:r>
          </w:p>
        </w:tc>
        <w:tc>
          <w:tcPr>
            <w:tcW w:w="23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559434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Transition phase</w:t>
            </w:r>
          </w:p>
        </w:tc>
        <w:tc>
          <w:tcPr>
            <w:tcW w:w="1800" w:type="dxa"/>
            <w:shd w:val="clear" w:color="auto" w:fill="F4F8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233CE6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Scheduled</w:t>
            </w:r>
          </w:p>
        </w:tc>
      </w:tr>
      <w:tr w:rsidR="002E7385" w14:paraId="421C182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90DCAA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Training uptake &gt; 80%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6E18A3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Deferred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3E580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No real user population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7859DC" w14:textId="77777777" w:rsidR="002E7385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Documented as future work</w:t>
            </w:r>
          </w:p>
        </w:tc>
      </w:tr>
    </w:tbl>
    <w:p w14:paraId="4AD751BB" w14:textId="77777777" w:rsidR="002E7385" w:rsidRDefault="00000000">
      <w:r>
        <w:br w:type="page"/>
      </w:r>
    </w:p>
    <w:p w14:paraId="41674A4D" w14:textId="77777777" w:rsidR="002E7385" w:rsidRDefault="00000000">
      <w:pPr>
        <w:pStyle w:val="Heading1"/>
        <w:spacing w:before="340" w:after="150"/>
      </w:pPr>
      <w:r>
        <w:rPr>
          <w:b/>
          <w:bCs/>
          <w:color w:val="1F4E5F"/>
          <w:sz w:val="28"/>
          <w:szCs w:val="28"/>
        </w:rPr>
        <w:lastRenderedPageBreak/>
        <w:t>6. Issues, Risks &amp; How You Handled Them</w:t>
      </w:r>
    </w:p>
    <w:p w14:paraId="329A3DDF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Benchmark comparability (supervisor's primary concern).</w:t>
      </w:r>
      <w:r>
        <w:t xml:space="preserve"> Risk that our results would not be comparable to published work. Resolved by tracing the dataset to its own source publication rather than selecting a topically similar paper — giving an identical-corpus comparison. Verified by matching class counts exactly (42,891 / 39,595).</w:t>
      </w:r>
    </w:p>
    <w:p w14:paraId="62445BF1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Replication variance.</w:t>
      </w:r>
      <w:r>
        <w:t xml:space="preserve"> Our SVM replication returns 0.9916 against the published 0.99. Treated as a match rather than a discrepancy: the paper reports to two decimal places and does not fully specify preprocessing (feature count, n-gram range, stop words, split seed, class weighting). An exact four-decimal reproduction would be implausible; landing in the same performance band is what validates the pipeline.</w:t>
      </w:r>
    </w:p>
    <w:p w14:paraId="738814C6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Work distribution.</w:t>
      </w:r>
      <w:r>
        <w:t xml:space="preserve"> Supervisor identified concentration of work in one person as a serious risk. Addressed by formalising the RACI with a single accountable owner per activity, writing individual technical briefs with specifications rather than finished code for module owners, adopting branch-and-pull-request workflow, and issuing a viva preparation document so each member can defend their module independently.</w:t>
      </w:r>
    </w:p>
    <w:p w14:paraId="4691E32B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Cross-origin request failure.</w:t>
      </w:r>
      <w:r>
        <w:t xml:space="preserve"> Browser requests from the local demo page were blocked by the same-origin policy. Resolved with CORS middleware on both services, deliberately permissive for local demonstration and immediately recorded as an OWASP A05 finding for restriction before deployment — an example of the security assessment process operating during development rather than after it.</w:t>
      </w:r>
    </w:p>
    <w:p w14:paraId="65C4D08B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Malformed input during testing.</w:t>
      </w:r>
      <w:r>
        <w:t xml:space="preserve"> Early API tests returned HTTP 422 due to malformed request bodies. Root cause identified from the validation error detail; corrected requests classified successfully. Retained as negative-test evidence that server-side input validation rejects malformed input with a descriptive error rather than failing (NFR-05).</w:t>
      </w:r>
    </w:p>
    <w:p w14:paraId="4A81623A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Data validity limitation.</w:t>
      </w:r>
      <w:r>
        <w:t xml:space="preserve"> Model quality on public research corpora will not transfer unchanged to live institutional mail (domain shift). Recorded openly rather than presented as a deployment guarantee; the transformer comparison and, in production, retraining on institutional data are the mitigations.</w:t>
      </w:r>
    </w:p>
    <w:p w14:paraId="60A21CF7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Repository hygiene.</w:t>
      </w:r>
      <w:r>
        <w:t xml:space="preserve"> Generated artefacts (trained model, </w:t>
      </w:r>
      <w:proofErr w:type="spellStart"/>
      <w:r>
        <w:t>registry.db</w:t>
      </w:r>
      <w:proofErr w:type="spellEnd"/>
      <w:r>
        <w:t xml:space="preserve">, </w:t>
      </w:r>
      <w:proofErr w:type="spellStart"/>
      <w:r>
        <w:t>training.db</w:t>
      </w:r>
      <w:proofErr w:type="spellEnd"/>
      <w:r>
        <w:t xml:space="preserve">) initially appeared in version control. Added </w:t>
      </w:r>
      <w:proofErr w:type="gramStart"/>
      <w:r>
        <w:t>to .</w:t>
      </w:r>
      <w:proofErr w:type="spellStart"/>
      <w:r>
        <w:t>gitignore</w:t>
      </w:r>
      <w:proofErr w:type="spellEnd"/>
      <w:proofErr w:type="gramEnd"/>
      <w:r>
        <w:t xml:space="preserve"> before commit; the repository holds code, documentation and evidence only, with the model reproducible via train.py.</w:t>
      </w:r>
    </w:p>
    <w:p w14:paraId="463E1E06" w14:textId="77777777" w:rsidR="002E7385" w:rsidRDefault="00000000">
      <w:pPr>
        <w:pStyle w:val="Heading1"/>
        <w:spacing w:before="340" w:after="150"/>
      </w:pPr>
      <w:r>
        <w:rPr>
          <w:b/>
          <w:bCs/>
          <w:color w:val="1F4E5F"/>
          <w:sz w:val="28"/>
          <w:szCs w:val="28"/>
        </w:rPr>
        <w:t>7. Plan for Next Week (Week 4)</w:t>
      </w:r>
    </w:p>
    <w:p w14:paraId="5812B467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Transformer comparison.</w:t>
      </w:r>
      <w:r>
        <w:t xml:space="preserve"> Fine-tune a </w:t>
      </w:r>
      <w:proofErr w:type="spellStart"/>
      <w:r>
        <w:t>DistilBERT</w:t>
      </w:r>
      <w:proofErr w:type="spellEnd"/>
      <w:r>
        <w:t xml:space="preserve"> classifier on the same corpus and evaluate with the same metrics, completing a three-way comparison: published SVM benchmark [41], our classical baseline, and a transformer. This is the preliminary-results milestone.</w:t>
      </w:r>
    </w:p>
    <w:p w14:paraId="609FC6A8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Training module completion.</w:t>
      </w:r>
      <w:r>
        <w:t xml:space="preserve"> Module owner to implement the scoring engine (attempt scoring, EWMA risk update, banding, adaptive selection) and tests TT-</w:t>
      </w:r>
      <w:proofErr w:type="gramStart"/>
      <w:r>
        <w:t>01..</w:t>
      </w:r>
      <w:proofErr w:type="gramEnd"/>
      <w:r>
        <w:t>TT-05, bringing the training service to a running state.</w:t>
      </w:r>
    </w:p>
    <w:p w14:paraId="6C9502CE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Awareness content expansion.</w:t>
      </w:r>
      <w:r>
        <w:t xml:space="preserve"> Extend the lesson and question library across the three personas and all difficulty levels so adaptive selection has sufficient content.</w:t>
      </w:r>
    </w:p>
    <w:p w14:paraId="2B9988A1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Security assessment.</w:t>
      </w:r>
      <w:r>
        <w:t xml:space="preserve"> OWASP Top 10 self-assessment against our own services with findings, severities and fixes documented; security and negative tests TS-</w:t>
      </w:r>
      <w:proofErr w:type="gramStart"/>
      <w:r>
        <w:t>01..</w:t>
      </w:r>
      <w:proofErr w:type="gramEnd"/>
      <w:r>
        <w:t>TS-05 added.</w:t>
      </w:r>
    </w:p>
    <w:p w14:paraId="3C1B62A1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t>Governance dashboard.</w:t>
      </w:r>
      <w:r>
        <w:t xml:space="preserve"> Charts for detection volume, risk distribution and training completion (FR-07), integrating all three services behind one interface.</w:t>
      </w:r>
    </w:p>
    <w:p w14:paraId="01A381AD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rPr>
          <w:b/>
          <w:bCs/>
        </w:rPr>
        <w:lastRenderedPageBreak/>
        <w:t>Presentation 1 preparation.</w:t>
      </w:r>
      <w:r>
        <w:t xml:space="preserve"> Five-minute MVP presentation covering problem, approach, artefact demonstration with justification, testing status, and ethical/security/privacy considerations, with a recorded backup demonstration.</w:t>
      </w:r>
    </w:p>
    <w:p w14:paraId="78B26C63" w14:textId="77777777" w:rsidR="002E7385" w:rsidRDefault="00000000">
      <w:pPr>
        <w:pStyle w:val="Heading1"/>
        <w:spacing w:before="340" w:after="150"/>
      </w:pPr>
      <w:r>
        <w:rPr>
          <w:b/>
          <w:bCs/>
          <w:color w:val="1F4E5F"/>
          <w:sz w:val="28"/>
          <w:szCs w:val="28"/>
        </w:rPr>
        <w:t>8. Attachments</w:t>
      </w:r>
    </w:p>
    <w:p w14:paraId="6FF5080D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t>Meeting Minutes #1 — supervisor consultation (docs/minutes/)</w:t>
      </w:r>
    </w:p>
    <w:p w14:paraId="2642CA4B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t>Meeting Minutes #2 — team meeting, module allocation (docs/minutes/)</w:t>
      </w:r>
    </w:p>
    <w:p w14:paraId="6B57648D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t>Dataset and Benchmark Justification (docs/)</w:t>
      </w:r>
    </w:p>
    <w:p w14:paraId="12B9761A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t>Implementation Project Plan with final RACI (docs/)</w:t>
      </w:r>
    </w:p>
    <w:p w14:paraId="6FF4871A" w14:textId="77777777" w:rsidR="002E7385" w:rsidRDefault="00000000">
      <w:pPr>
        <w:pStyle w:val="ListParagraph"/>
        <w:numPr>
          <w:ilvl w:val="0"/>
          <w:numId w:val="2"/>
        </w:numPr>
        <w:spacing w:after="80" w:line="270" w:lineRule="auto"/>
      </w:pPr>
      <w:r>
        <w:t>Evidence screenshots (docs/evidence/)</w:t>
      </w:r>
    </w:p>
    <w:p w14:paraId="12EFF17A" w14:textId="77777777" w:rsidR="002E7385" w:rsidRDefault="00000000">
      <w:pPr>
        <w:pStyle w:val="Heading1"/>
        <w:spacing w:before="340" w:after="150"/>
      </w:pPr>
      <w:r>
        <w:rPr>
          <w:b/>
          <w:bCs/>
          <w:color w:val="1F4E5F"/>
          <w:sz w:val="28"/>
          <w:szCs w:val="28"/>
        </w:rPr>
        <w:t>9. Supervisor Notes (Optional)</w:t>
      </w:r>
    </w:p>
    <w:p w14:paraId="1A0F80B5" w14:textId="77777777" w:rsidR="002E7385" w:rsidRDefault="00000000">
      <w:pPr>
        <w:spacing w:after="130" w:line="276" w:lineRule="auto"/>
        <w:jc w:val="both"/>
      </w:pPr>
      <w:r>
        <w:t xml:space="preserve"> </w:t>
      </w:r>
    </w:p>
    <w:p w14:paraId="5FC959BF" w14:textId="77777777" w:rsidR="002E7385" w:rsidRDefault="00000000">
      <w:pPr>
        <w:spacing w:after="130" w:line="276" w:lineRule="auto"/>
        <w:jc w:val="both"/>
      </w:pPr>
      <w:r>
        <w:t xml:space="preserve"> </w:t>
      </w:r>
    </w:p>
    <w:p w14:paraId="4A84E4DB" w14:textId="77777777" w:rsidR="002E7385" w:rsidRDefault="00000000">
      <w:pPr>
        <w:spacing w:after="130" w:line="276" w:lineRule="auto"/>
        <w:jc w:val="both"/>
      </w:pPr>
      <w:r>
        <w:t xml:space="preserve"> </w:t>
      </w:r>
    </w:p>
    <w:p w14:paraId="674C71AF" w14:textId="77777777" w:rsidR="002E7385" w:rsidRDefault="00000000">
      <w:pPr>
        <w:spacing w:after="130" w:line="276" w:lineRule="auto"/>
        <w:jc w:val="both"/>
      </w:pPr>
      <w:r>
        <w:t xml:space="preserve"> </w:t>
      </w:r>
    </w:p>
    <w:sectPr w:rsidR="002E7385">
      <w:pgSz w:w="11906" w:h="16838"/>
      <w:pgMar w:top="1080" w:right="1180" w:bottom="1080" w:left="11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D09F9"/>
    <w:multiLevelType w:val="hybridMultilevel"/>
    <w:tmpl w:val="8A3A4714"/>
    <w:lvl w:ilvl="0" w:tplc="246A7A7A">
      <w:start w:val="1"/>
      <w:numFmt w:val="bullet"/>
      <w:lvlText w:val="•"/>
      <w:lvlJc w:val="left"/>
      <w:pPr>
        <w:ind w:left="431" w:hanging="259"/>
      </w:pPr>
    </w:lvl>
    <w:lvl w:ilvl="1" w:tplc="097C1696">
      <w:numFmt w:val="decimal"/>
      <w:lvlText w:val=""/>
      <w:lvlJc w:val="left"/>
    </w:lvl>
    <w:lvl w:ilvl="2" w:tplc="BBE030C0">
      <w:numFmt w:val="decimal"/>
      <w:lvlText w:val=""/>
      <w:lvlJc w:val="left"/>
    </w:lvl>
    <w:lvl w:ilvl="3" w:tplc="A8DA3140">
      <w:numFmt w:val="decimal"/>
      <w:lvlText w:val=""/>
      <w:lvlJc w:val="left"/>
    </w:lvl>
    <w:lvl w:ilvl="4" w:tplc="B1303598">
      <w:numFmt w:val="decimal"/>
      <w:lvlText w:val=""/>
      <w:lvlJc w:val="left"/>
    </w:lvl>
    <w:lvl w:ilvl="5" w:tplc="518614EE">
      <w:numFmt w:val="decimal"/>
      <w:lvlText w:val=""/>
      <w:lvlJc w:val="left"/>
    </w:lvl>
    <w:lvl w:ilvl="6" w:tplc="42F04502">
      <w:numFmt w:val="decimal"/>
      <w:lvlText w:val=""/>
      <w:lvlJc w:val="left"/>
    </w:lvl>
    <w:lvl w:ilvl="7" w:tplc="B2784DCC">
      <w:numFmt w:val="decimal"/>
      <w:lvlText w:val=""/>
      <w:lvlJc w:val="left"/>
    </w:lvl>
    <w:lvl w:ilvl="8" w:tplc="ECBC8F54">
      <w:numFmt w:val="decimal"/>
      <w:lvlText w:val=""/>
      <w:lvlJc w:val="left"/>
    </w:lvl>
  </w:abstractNum>
  <w:abstractNum w:abstractNumId="1" w15:restartNumberingAfterBreak="0">
    <w:nsid w:val="48CF00D4"/>
    <w:multiLevelType w:val="hybridMultilevel"/>
    <w:tmpl w:val="61F69986"/>
    <w:lvl w:ilvl="0" w:tplc="48043998">
      <w:start w:val="1"/>
      <w:numFmt w:val="bullet"/>
      <w:lvlText w:val="●"/>
      <w:lvlJc w:val="left"/>
      <w:pPr>
        <w:ind w:left="720" w:hanging="360"/>
      </w:pPr>
    </w:lvl>
    <w:lvl w:ilvl="1" w:tplc="D0D4E82C">
      <w:start w:val="1"/>
      <w:numFmt w:val="bullet"/>
      <w:lvlText w:val="○"/>
      <w:lvlJc w:val="left"/>
      <w:pPr>
        <w:ind w:left="1440" w:hanging="360"/>
      </w:pPr>
    </w:lvl>
    <w:lvl w:ilvl="2" w:tplc="9CEEE2CE">
      <w:start w:val="1"/>
      <w:numFmt w:val="bullet"/>
      <w:lvlText w:val="■"/>
      <w:lvlJc w:val="left"/>
      <w:pPr>
        <w:ind w:left="2160" w:hanging="360"/>
      </w:pPr>
    </w:lvl>
    <w:lvl w:ilvl="3" w:tplc="7B2E20EA">
      <w:start w:val="1"/>
      <w:numFmt w:val="bullet"/>
      <w:lvlText w:val="●"/>
      <w:lvlJc w:val="left"/>
      <w:pPr>
        <w:ind w:left="2880" w:hanging="360"/>
      </w:pPr>
    </w:lvl>
    <w:lvl w:ilvl="4" w:tplc="23C4A2BA">
      <w:start w:val="1"/>
      <w:numFmt w:val="bullet"/>
      <w:lvlText w:val="○"/>
      <w:lvlJc w:val="left"/>
      <w:pPr>
        <w:ind w:left="3600" w:hanging="360"/>
      </w:pPr>
    </w:lvl>
    <w:lvl w:ilvl="5" w:tplc="22C64F72">
      <w:start w:val="1"/>
      <w:numFmt w:val="bullet"/>
      <w:lvlText w:val="■"/>
      <w:lvlJc w:val="left"/>
      <w:pPr>
        <w:ind w:left="4320" w:hanging="360"/>
      </w:pPr>
    </w:lvl>
    <w:lvl w:ilvl="6" w:tplc="3D18265E">
      <w:start w:val="1"/>
      <w:numFmt w:val="bullet"/>
      <w:lvlText w:val="●"/>
      <w:lvlJc w:val="left"/>
      <w:pPr>
        <w:ind w:left="5040" w:hanging="360"/>
      </w:pPr>
    </w:lvl>
    <w:lvl w:ilvl="7" w:tplc="3E2C802A">
      <w:start w:val="1"/>
      <w:numFmt w:val="bullet"/>
      <w:lvlText w:val="●"/>
      <w:lvlJc w:val="left"/>
      <w:pPr>
        <w:ind w:left="5760" w:hanging="360"/>
      </w:pPr>
    </w:lvl>
    <w:lvl w:ilvl="8" w:tplc="6A70DB92">
      <w:start w:val="1"/>
      <w:numFmt w:val="bullet"/>
      <w:lvlText w:val="●"/>
      <w:lvlJc w:val="left"/>
      <w:pPr>
        <w:ind w:left="6480" w:hanging="360"/>
      </w:pPr>
    </w:lvl>
  </w:abstractNum>
  <w:num w:numId="1" w16cid:durableId="1217861424">
    <w:abstractNumId w:val="1"/>
    <w:lvlOverride w:ilvl="0">
      <w:startOverride w:val="1"/>
    </w:lvlOverride>
  </w:num>
  <w:num w:numId="2" w16cid:durableId="5045212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7385"/>
    <w:rsid w:val="001A0065"/>
    <w:rsid w:val="002E7385"/>
    <w:rsid w:val="00670F61"/>
    <w:rsid w:val="0088793A"/>
    <w:rsid w:val="00D45CAF"/>
    <w:rsid w:val="00E04929"/>
    <w:rsid w:val="00EA7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02C8BD"/>
  <w15:docId w15:val="{859E20A6-A25D-4616-B614-F61709A43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1A00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A7115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A711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ailinkon/MIS5320-SEDAS-CyberProjectB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1925</Words>
  <Characters>10978</Characters>
  <Application>Microsoft Office Word</Application>
  <DocSecurity>0</DocSecurity>
  <Lines>91</Lines>
  <Paragraphs>25</Paragraphs>
  <ScaleCrop>false</ScaleCrop>
  <Company/>
  <LinksUpToDate>false</LinksUpToDate>
  <CharactersWithSpaces>12878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Ashraful Islam</cp:lastModifiedBy>
  <cp:revision>7</cp:revision>
  <dcterms:created xsi:type="dcterms:W3CDTF">2026-07-20T12:55:00Z</dcterms:created>
  <dcterms:modified xsi:type="dcterms:W3CDTF">2026-07-26T06:41:00Z</dcterms:modified>
</cp:coreProperties>
</file>