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5F"/>
          <w:sz w:val="32"/>
          <w:szCs w:val="32"/>
        </w:rPr>
        <w:t xml:space="preserve">SEDAS — Team Meeting Minutes #2</w:t>
      </w:r>
    </w:p>
    <w:p>
      <w:pPr>
        <w:spacing w:after="280"/>
        <w:jc w:val="center"/>
      </w:pPr>
      <w:r>
        <w:rPr>
          <w:rFonts w:ascii="Calibri" w:cs="Calibri" w:eastAsia="Calibri" w:hAnsi="Calibri"/>
          <w:i/>
          <w:iCs/>
          <w:sz w:val="21"/>
          <w:szCs w:val="21"/>
        </w:rPr>
        <w:t xml:space="preserve">MIS5320 Applied IS Project — Part 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rPr>
          <w:tblHeader/>
        </w:trPr>
        <w:tc>
          <w:tcPr>
            <w:tcW w:type="dxa" w:w="25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Date / time</w:t>
            </w:r>
          </w:p>
        </w:tc>
        <w:tc>
          <w:tcPr>
            <w:tcW w:type="dxa" w:w="67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Week 2 (team meeting, following Minutes #1)</w:t>
            </w:r>
          </w:p>
        </w:tc>
      </w:tr>
      <w:tr>
        <w:trPr>
          <w:tblHeader w:val="false"/>
        </w:trPr>
        <w:tc>
          <w:tcPr>
            <w:tcW w:type="dxa" w:w="2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Attendees</w:t>
            </w:r>
          </w:p>
        </w:tc>
        <w:tc>
          <w:tcPr>
            <w:tcW w:type="dxa" w:w="6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 Islam (240135); Huzaifa Iqbal (240220); Sonu (250001); Dominic Kipchirchir (240401)</w:t>
            </w:r>
          </w:p>
        </w:tc>
      </w:tr>
      <w:tr>
        <w:trPr>
          <w:tblHeader w:val="false"/>
        </w:trPr>
        <w:tc>
          <w:tcPr>
            <w:tcW w:type="dxa" w:w="25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Recorded by</w:t>
            </w:r>
          </w:p>
        </w:tc>
        <w:tc>
          <w:tcPr>
            <w:tcW w:type="dxa" w:w="6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 Islam</w:t>
            </w:r>
          </w:p>
        </w:tc>
      </w:tr>
      <w:tr>
        <w:trPr>
          <w:tblHeader w:val="false"/>
        </w:trPr>
        <w:tc>
          <w:tcPr>
            <w:tcW w:type="dxa" w:w="2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Purpose</w:t>
            </w:r>
          </w:p>
        </w:tc>
        <w:tc>
          <w:tcPr>
            <w:tcW w:type="dxa" w:w="6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Confirm final team composition and allocate module ownership per the supervisor's instruction that work must be split across the team and not concentrated in one person</w:t>
            </w:r>
          </w:p>
        </w:tc>
      </w:tr>
    </w:tbl>
    <w:p>
      <w:pPr>
        <w:pStyle w:val="Heading1"/>
        <w:spacing w:after="150" w:before="340"/>
      </w:pPr>
      <w:r>
        <w:rPr>
          <w:rFonts w:ascii="Calibri" w:cs="Calibri" w:eastAsia="Calibri" w:hAnsi="Calibri"/>
          <w:b/>
          <w:bCs/>
          <w:color w:val="1F4E5F"/>
          <w:sz w:val="28"/>
          <w:szCs w:val="28"/>
        </w:rPr>
        <w:t xml:space="preserve">1. Discussion Points</w:t>
      </w:r>
    </w:p>
    <w:p>
      <w:pPr>
        <w:pStyle w:val="ListParagraph"/>
        <w:numPr>
          <w:ilvl w:val="0"/>
          <w:numId w:val="2"/>
        </w:numPr>
        <w:spacing w:after="80" w:line="270"/>
      </w:pPr>
      <w:r>
        <w:rPr>
          <w:rFonts w:ascii="Calibri" w:cs="Calibri" w:eastAsia="Calibri" w:hAnsi="Calibri"/>
          <w:b/>
          <w:bCs/>
          <w:sz w:val="22"/>
          <w:szCs w:val="22"/>
        </w:rPr>
        <w:t xml:space="preserve">Team composition finalised.</w:t>
      </w:r>
      <w:r>
        <w:rPr>
          <w:rFonts w:ascii="Calibri" w:cs="Calibri" w:eastAsia="Calibri" w:hAnsi="Calibri"/>
          <w:sz w:val="22"/>
          <w:szCs w:val="22"/>
        </w:rPr>
        <w:t xml:space="preserve"> The team was confirmed at four members following recruitment via the class group: Ashraful Islam (240135), Huzaifa Iqbal (240220), Sonu (250001) and Dominic Kipchirchir (240401), implementing SEDAS as the agreed Part B project.</w:t>
      </w:r>
    </w:p>
    <w:p>
      <w:pPr>
        <w:pStyle w:val="ListParagraph"/>
        <w:numPr>
          <w:ilvl w:val="0"/>
          <w:numId w:val="2"/>
        </w:numPr>
        <w:spacing w:after="80" w:line="270"/>
      </w:pPr>
      <w:r>
        <w:rPr>
          <w:rFonts w:ascii="Calibri" w:cs="Calibri" w:eastAsia="Calibri" w:hAnsi="Calibri"/>
          <w:b/>
          <w:bCs/>
          <w:sz w:val="22"/>
          <w:szCs w:val="22"/>
        </w:rPr>
        <w:t xml:space="preserve">Rationale for module allocation.</w:t>
      </w:r>
      <w:r>
        <w:rPr>
          <w:rFonts w:ascii="Calibri" w:cs="Calibri" w:eastAsia="Calibri" w:hAnsi="Calibri"/>
          <w:sz w:val="22"/>
          <w:szCs w:val="22"/>
        </w:rPr>
        <w:t xml:space="preserve"> Consistent with the supervisor's direction in Minutes #1 that no single person should hold the whole project, the team discussed individual strengths and preferences to divide ownership of the remaining modules (frontend/dashboard, awareness training, and security/testing/documentation) alongside the detection and URL verification services already in progress.</w:t>
      </w:r>
    </w:p>
    <w:p>
      <w:pPr>
        <w:pStyle w:val="ListParagraph"/>
        <w:numPr>
          <w:ilvl w:val="0"/>
          <w:numId w:val="2"/>
        </w:numPr>
        <w:spacing w:after="80" w:line="270"/>
      </w:pPr>
      <w:r>
        <w:rPr>
          <w:rFonts w:ascii="Calibri" w:cs="Calibri" w:eastAsia="Calibri" w:hAnsi="Calibri"/>
          <w:b/>
          <w:bCs/>
          <w:sz w:val="22"/>
          <w:szCs w:val="22"/>
        </w:rPr>
        <w:t xml:space="preserve">Dominic — training module.</w:t>
      </w:r>
      <w:r>
        <w:rPr>
          <w:rFonts w:ascii="Calibri" w:cs="Calibri" w:eastAsia="Calibri" w:hAnsi="Calibri"/>
          <w:sz w:val="22"/>
          <w:szCs w:val="22"/>
        </w:rPr>
        <w:t xml:space="preserve"> Dominic identified as strong in programming and was allocated ownership of the awareness training module, including its scoring and adaptive-lesson logic.</w:t>
      </w:r>
    </w:p>
    <w:p>
      <w:pPr>
        <w:pStyle w:val="ListParagraph"/>
        <w:numPr>
          <w:ilvl w:val="0"/>
          <w:numId w:val="2"/>
        </w:numPr>
        <w:spacing w:after="80" w:line="270"/>
      </w:pPr>
      <w:r>
        <w:rPr>
          <w:rFonts w:ascii="Calibri" w:cs="Calibri" w:eastAsia="Calibri" w:hAnsi="Calibri"/>
          <w:b/>
          <w:bCs/>
          <w:sz w:val="22"/>
          <w:szCs w:val="22"/>
        </w:rPr>
        <w:t xml:space="preserve">Huzaifa — security, testing and documentation.</w:t>
      </w:r>
      <w:r>
        <w:rPr>
          <w:rFonts w:ascii="Calibri" w:cs="Calibri" w:eastAsia="Calibri" w:hAnsi="Calibri"/>
          <w:sz w:val="22"/>
          <w:szCs w:val="22"/>
        </w:rPr>
        <w:t xml:space="preserve"> Huzaifa identified as capable in both programming and documentation and was allocated ownership of security assessment, the automated test framework, and user documentation.</w:t>
      </w:r>
    </w:p>
    <w:p>
      <w:pPr>
        <w:pStyle w:val="ListParagraph"/>
        <w:numPr>
          <w:ilvl w:val="0"/>
          <w:numId w:val="2"/>
        </w:numPr>
        <w:spacing w:after="80" w:line="270"/>
      </w:pPr>
      <w:r>
        <w:rPr>
          <w:rFonts w:ascii="Calibri" w:cs="Calibri" w:eastAsia="Calibri" w:hAnsi="Calibri"/>
          <w:b/>
          <w:bCs/>
          <w:sz w:val="22"/>
          <w:szCs w:val="22"/>
        </w:rPr>
        <w:t xml:space="preserve">Sonu — content and project records.</w:t>
      </w:r>
      <w:r>
        <w:rPr>
          <w:rFonts w:ascii="Calibri" w:cs="Calibri" w:eastAsia="Calibri" w:hAnsi="Calibri"/>
          <w:sz w:val="22"/>
          <w:szCs w:val="22"/>
        </w:rPr>
        <w:t xml:space="preserve"> Sonu was allocated ownership of the awareness content library (lesson and quiz writing), project records custodianship (Project Log and meeting minutes), and coordination of both team presentations.</w:t>
      </w:r>
    </w:p>
    <w:p>
      <w:pPr>
        <w:pStyle w:val="ListParagraph"/>
        <w:numPr>
          <w:ilvl w:val="0"/>
          <w:numId w:val="2"/>
        </w:numPr>
        <w:spacing w:after="80" w:line="270"/>
      </w:pPr>
      <w:r>
        <w:rPr>
          <w:rFonts w:ascii="Calibri" w:cs="Calibri" w:eastAsia="Calibri" w:hAnsi="Calibri"/>
          <w:b/>
          <w:bCs/>
          <w:sz w:val="22"/>
          <w:szCs w:val="22"/>
        </w:rPr>
        <w:t xml:space="preserve">Ashraful — detection, URL verification, frontend, benchmarking.</w:t>
      </w:r>
      <w:r>
        <w:rPr>
          <w:rFonts w:ascii="Calibri" w:cs="Calibri" w:eastAsia="Calibri" w:hAnsi="Calibri"/>
          <w:sz w:val="22"/>
          <w:szCs w:val="22"/>
        </w:rPr>
        <w:t xml:space="preserve"> Ashraful retained ownership of the detection service, URL verification service, frontend/dashboard, benchmark comparison work, and stakeholder liaison with the supervisor.</w:t>
      </w:r>
    </w:p>
    <w:p>
      <w:pPr>
        <w:pStyle w:val="ListParagraph"/>
        <w:numPr>
          <w:ilvl w:val="0"/>
          <w:numId w:val="2"/>
        </w:numPr>
        <w:spacing w:after="80" w:line="270"/>
      </w:pPr>
      <w:r>
        <w:rPr>
          <w:rFonts w:ascii="Calibri" w:cs="Calibri" w:eastAsia="Calibri" w:hAnsi="Calibri"/>
          <w:b/>
          <w:bCs/>
          <w:sz w:val="22"/>
          <w:szCs w:val="22"/>
        </w:rPr>
        <w:t xml:space="preserve">Cross-training agreed.</w:t>
      </w:r>
      <w:r>
        <w:rPr>
          <w:rFonts w:ascii="Calibri" w:cs="Calibri" w:eastAsia="Calibri" w:hAnsi="Calibri"/>
          <w:sz w:val="22"/>
          <w:szCs w:val="22"/>
        </w:rPr>
        <w:t xml:space="preserve"> Agreed that each member writes tests for their own module, contributes weekly to the Project Log, and participates in periodic teach-back sessions so that module knowledge is not confined to the person who built it — directly addressing the supervisor's concern about single-person concentration of work.</w:t>
      </w:r>
    </w:p>
    <w:p>
      <w:pPr>
        <w:pStyle w:val="Heading1"/>
        <w:spacing w:after="150" w:before="340"/>
      </w:pPr>
      <w:r>
        <w:rPr>
          <w:rFonts w:ascii="Calibri" w:cs="Calibri" w:eastAsia="Calibri" w:hAnsi="Calibri"/>
          <w:b/>
          <w:bCs/>
          <w:color w:val="1F4E5F"/>
          <w:sz w:val="28"/>
          <w:szCs w:val="28"/>
        </w:rPr>
        <w:t xml:space="preserve">2. Decisions</w:t>
      </w:r>
    </w:p>
    <w:p>
      <w:pPr>
        <w:pStyle w:val="ListParagraph"/>
        <w:numPr>
          <w:ilvl w:val="0"/>
          <w:numId w:val="2"/>
        </w:numPr>
        <w:spacing w:after="80" w:line="270"/>
      </w:pPr>
      <w:r>
        <w:rPr>
          <w:rFonts w:ascii="Calibri" w:cs="Calibri" w:eastAsia="Calibri" w:hAnsi="Calibri"/>
          <w:sz w:val="22"/>
          <w:szCs w:val="22"/>
        </w:rPr>
        <w:t xml:space="preserve">Module ownership formalised in a RACI matrix (recorded in the Implementation Project Plan) with a single accountable owner per activity: detection/URL verification/frontend (Ashraful), training module (Dominic), awareness content and project records (Sonu), security/testing/documentation (Huzaifa).</w:t>
      </w:r>
    </w:p>
    <w:p>
      <w:pPr>
        <w:pStyle w:val="ListParagraph"/>
        <w:numPr>
          <w:ilvl w:val="0"/>
          <w:numId w:val="2"/>
        </w:numPr>
        <w:spacing w:after="80" w:line="270"/>
      </w:pPr>
      <w:r>
        <w:rPr>
          <w:rFonts w:ascii="Calibri" w:cs="Calibri" w:eastAsia="Calibri" w:hAnsi="Calibri"/>
          <w:sz w:val="22"/>
          <w:szCs w:val="22"/>
        </w:rPr>
        <w:t xml:space="preserve">All team contributions to be made via feature branches and reviewed pull requests rather than direct commits to main, so that individual contribution is visible and auditable in the repository history.</w:t>
      </w:r>
    </w:p>
    <w:p>
      <w:pPr>
        <w:pStyle w:val="ListParagraph"/>
        <w:numPr>
          <w:ilvl w:val="0"/>
          <w:numId w:val="2"/>
        </w:numPr>
        <w:spacing w:after="80" w:line="270"/>
      </w:pPr>
      <w:r>
        <w:rPr>
          <w:rFonts w:ascii="Calibri" w:cs="Calibri" w:eastAsia="Calibri" w:hAnsi="Calibri"/>
          <w:sz w:val="22"/>
          <w:szCs w:val="22"/>
        </w:rPr>
        <w:t xml:space="preserve">Each module owner to receive a written technical brief specifying their task, with tests and viva-preparation material, to support independent understanding and defence of their work.</w:t>
      </w:r>
    </w:p>
    <w:p>
      <w:pPr>
        <w:pStyle w:val="Heading1"/>
        <w:spacing w:after="150" w:before="340"/>
      </w:pPr>
      <w:r>
        <w:rPr>
          <w:rFonts w:ascii="Calibri" w:cs="Calibri" w:eastAsia="Calibri" w:hAnsi="Calibri"/>
          <w:b/>
          <w:bCs/>
          <w:color w:val="1F4E5F"/>
          <w:sz w:val="28"/>
          <w:szCs w:val="28"/>
        </w:rPr>
        <w:t xml:space="preserve">3. 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1700"/>
        <w:gridCol w:w="1500"/>
      </w:tblGrid>
      <w:tr>
        <w:trPr>
          <w:tblHeader/>
        </w:trPr>
        <w:tc>
          <w:tcPr>
            <w:tcW w:type="dxa" w:w="7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w:t>
            </w:r>
          </w:p>
        </w:tc>
        <w:tc>
          <w:tcPr>
            <w:tcW w:type="dxa" w:w="53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Action</w:t>
            </w:r>
          </w:p>
        </w:tc>
        <w:tc>
          <w:tcPr>
            <w:tcW w:type="dxa" w:w="17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Owner</w:t>
            </w:r>
          </w:p>
        </w:tc>
        <w:tc>
          <w:tcPr>
            <w:tcW w:type="dxa" w:w="1500"/>
            <w:shd w:fill="1F4E5F" w:val="clear"/>
            <w:tcMar>
              <w:top w:type="dxa" w:w="80"/>
              <w:left w:type="dxa" w:w="100"/>
              <w:bottom w:type="dxa" w:w="80"/>
              <w:right w:type="dxa" w:w="100"/>
            </w:tcMar>
          </w:tcPr>
          <w:p>
            <w:pPr>
              <w:spacing w:after="0" w:line="252"/>
            </w:pPr>
            <w:r>
              <w:rPr>
                <w:rFonts w:ascii="Calibri" w:cs="Calibri" w:eastAsia="Calibri" w:hAnsi="Calibri"/>
                <w:b/>
                <w:bCs/>
                <w:color w:val="FFFFFF"/>
                <w:sz w:val="20"/>
                <w:szCs w:val="20"/>
              </w:rPr>
              <w:t xml:space="preserve">Due</w:t>
            </w:r>
          </w:p>
        </w:tc>
      </w:tr>
      <w:tr>
        <w:trPr>
          <w:tblHeader w:val="false"/>
        </w:trPr>
        <w:tc>
          <w:tcPr>
            <w:tcW w:type="dxa" w:w="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1</w:t>
            </w:r>
          </w:p>
        </w:tc>
        <w:tc>
          <w:tcPr>
            <w:tcW w:type="dxa" w:w="53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Add all team members as GitHub collaborators</w:t>
            </w:r>
          </w:p>
        </w:tc>
        <w:tc>
          <w:tcPr>
            <w:tcW w:type="dxa" w:w="1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w:t>
            </w:r>
          </w:p>
        </w:tc>
        <w:tc>
          <w:tcPr>
            <w:tcW w:type="dxa" w:w="1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Immediate</w:t>
            </w:r>
          </w:p>
        </w:tc>
      </w:tr>
      <w:tr>
        <w:trPr>
          <w:tblHeader w:val="false"/>
        </w:trPr>
        <w:tc>
          <w:tcPr>
            <w:tcW w:type="dxa" w:w="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2</w:t>
            </w:r>
          </w:p>
        </w:tc>
        <w:tc>
          <w:tcPr>
            <w:tcW w:type="dxa" w:w="53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Distribute individual technical briefs for each module</w:t>
            </w:r>
          </w:p>
        </w:tc>
        <w:tc>
          <w:tcPr>
            <w:tcW w:type="dxa" w:w="1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Ashraful</w:t>
            </w:r>
          </w:p>
        </w:tc>
        <w:tc>
          <w:tcPr>
            <w:tcW w:type="dxa" w:w="15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Following week</w:t>
            </w:r>
          </w:p>
        </w:tc>
      </w:tr>
      <w:tr>
        <w:trPr>
          <w:tblHeader w:val="false"/>
        </w:trPr>
        <w:tc>
          <w:tcPr>
            <w:tcW w:type="dxa" w:w="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3</w:t>
            </w:r>
          </w:p>
        </w:tc>
        <w:tc>
          <w:tcPr>
            <w:tcW w:type="dxa" w:w="53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Set up development environment and verify setup with a test run of the suite</w:t>
            </w:r>
          </w:p>
        </w:tc>
        <w:tc>
          <w:tcPr>
            <w:tcW w:type="dxa" w:w="1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Huzaifa, Sonu, Dominic</w:t>
            </w:r>
          </w:p>
        </w:tc>
        <w:tc>
          <w:tcPr>
            <w:tcW w:type="dxa" w:w="1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Following week</w:t>
            </w:r>
          </w:p>
        </w:tc>
      </w:tr>
      <w:tr>
        <w:trPr>
          <w:tblHeader w:val="false"/>
        </w:trPr>
        <w:tc>
          <w:tcPr>
            <w:tcW w:type="dxa" w:w="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4</w:t>
            </w:r>
          </w:p>
        </w:tc>
        <w:tc>
          <w:tcPr>
            <w:tcW w:type="dxa" w:w="53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Begin work on allocated module per RACI</w:t>
            </w:r>
          </w:p>
        </w:tc>
        <w:tc>
          <w:tcPr>
            <w:tcW w:type="dxa" w:w="17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All</w:t>
            </w:r>
          </w:p>
        </w:tc>
        <w:tc>
          <w:tcPr>
            <w:tcW w:type="dxa" w:w="1500"/>
            <w:shd w:fill="F4F8FA" w:val="clear"/>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Ongoing</w:t>
            </w:r>
          </w:p>
        </w:tc>
      </w:tr>
      <w:tr>
        <w:trPr>
          <w:tblHeader w:val="false"/>
        </w:trPr>
        <w:tc>
          <w:tcPr>
            <w:tcW w:type="dxa" w:w="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5</w:t>
            </w:r>
          </w:p>
        </w:tc>
        <w:tc>
          <w:tcPr>
            <w:tcW w:type="dxa" w:w="53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Contribute weekly entries to the Project Log covering individual progress</w:t>
            </w:r>
          </w:p>
        </w:tc>
        <w:tc>
          <w:tcPr>
            <w:tcW w:type="dxa" w:w="17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All</w:t>
            </w:r>
          </w:p>
        </w:tc>
        <w:tc>
          <w:tcPr>
            <w:tcW w:type="dxa" w:w="1500"/>
            <w:tcMar>
              <w:top w:type="dxa" w:w="80"/>
              <w:left w:type="dxa" w:w="100"/>
              <w:bottom w:type="dxa" w:w="80"/>
              <w:right w:type="dxa" w:w="100"/>
            </w:tcMar>
          </w:tcPr>
          <w:p>
            <w:pPr>
              <w:spacing w:after="0" w:line="252"/>
            </w:pPr>
            <w:r>
              <w:rPr>
                <w:rFonts w:ascii="Calibri" w:cs="Calibri" w:eastAsia="Calibri" w:hAnsi="Calibri"/>
                <w:b w:val="false"/>
                <w:bCs w:val="false"/>
                <w:sz w:val="19"/>
                <w:szCs w:val="19"/>
              </w:rPr>
              <w:t xml:space="preserve">Weekly, ongoing</w:t>
            </w:r>
          </w:p>
        </w:tc>
      </w:tr>
    </w:tbl>
    <w:p>
      <w:pPr>
        <w:pStyle w:val="Heading1"/>
        <w:spacing w:after="150" w:before="340"/>
      </w:pPr>
      <w:r>
        <w:rPr>
          <w:rFonts w:ascii="Calibri" w:cs="Calibri" w:eastAsia="Calibri" w:hAnsi="Calibri"/>
          <w:b/>
          <w:bCs/>
          <w:color w:val="1F4E5F"/>
          <w:sz w:val="28"/>
          <w:szCs w:val="28"/>
        </w:rPr>
        <w:t xml:space="preserve">4. Next Meeting</w:t>
      </w:r>
    </w:p>
    <w:p>
      <w:pPr>
        <w:spacing w:after="130" w:line="276"/>
        <w:jc w:val="both"/>
      </w:pPr>
      <w:r>
        <w:rPr>
          <w:rFonts w:ascii="Calibri" w:cs="Calibri" w:eastAsia="Calibri" w:hAnsi="Calibri"/>
          <w:sz w:val="22"/>
          <w:szCs w:val="22"/>
        </w:rPr>
        <w:t xml:space="preserve">Following supervisor consultation (Minutes #3) — agenda: review of module progress and confirmation that all members can run and explain their own and others' work.</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2026-07-29T01:18:00.367Z</dcterms:created>
  <dcterms:modified xsi:type="dcterms:W3CDTF">2026-07-29T01:18:00.383Z</dcterms:modified>
</cp:coreProperties>
</file>

<file path=docProps/custom.xml><?xml version="1.0" encoding="utf-8"?>
<Properties xmlns="http://schemas.openxmlformats.org/officeDocument/2006/custom-properties" xmlns:vt="http://schemas.openxmlformats.org/officeDocument/2006/docPropsVTypes"/>
</file>