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jc w:val="center"/>
      </w:pPr>
      <w:r>
        <w:rPr>
          <w:rFonts w:ascii="Calibri" w:cs="Calibri" w:eastAsia="Calibri" w:hAnsi="Calibri"/>
          <w:b/>
          <w:bCs/>
          <w:color w:val="1F4E5F"/>
          <w:sz w:val="38"/>
          <w:szCs w:val="38"/>
        </w:rPr>
        <w:t xml:space="preserve">SEDAS — Viva &amp; Walk-Through Preparation</w:t>
      </w:r>
    </w:p>
    <w:p>
      <w:pPr>
        <w:spacing w:after="60"/>
        <w:jc w:val="center"/>
      </w:pPr>
      <w:r>
        <w:rPr>
          <w:rFonts w:ascii="Calibri" w:cs="Calibri" w:eastAsia="Calibri" w:hAnsi="Calibri"/>
          <w:b/>
          <w:bCs/>
          <w:sz w:val="26"/>
          <w:szCs w:val="26"/>
        </w:rPr>
        <w:t xml:space="preserve">Model answers for the individual oral assessment</w:t>
      </w:r>
    </w:p>
    <w:p>
      <w:pPr>
        <w:spacing w:after="400"/>
        <w:jc w:val="center"/>
      </w:pPr>
      <w:r>
        <w:rPr>
          <w:rFonts w:ascii="Calibri" w:cs="Calibri" w:eastAsia="Calibri" w:hAnsi="Calibri"/>
          <w:i/>
          <w:iCs/>
          <w:sz w:val="21"/>
          <w:szCs w:val="21"/>
        </w:rPr>
        <w:t xml:space="preserve">MIS5320 Applied IS Project — Part B · Week 5 walk-throughs and Week 8 viva (25%)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4E5F" w:val="clear"/>
            <w:tcMar>
              <w:top w:type="dxa" w:w="80"/>
              <w:left w:type="dxa" w:w="100"/>
              <w:bottom w:type="dxa" w:w="80"/>
              <w:right w:type="dxa" w:w="100"/>
            </w:tcMar>
          </w:tcPr>
          <w:p>
            <w:pPr>
              <w:spacing w:after="0" w:line="252"/>
            </w:pPr>
            <w:r>
              <w:rPr>
                <w:rFonts w:ascii="Calibri" w:cs="Calibri" w:eastAsia="Calibri" w:hAnsi="Calibri"/>
                <w:b/>
                <w:bCs/>
                <w:color w:val="FFFFFF"/>
                <w:sz w:val="20"/>
                <w:szCs w:val="20"/>
              </w:rPr>
              <w:t xml:space="preserve">Project</w:t>
            </w:r>
          </w:p>
        </w:tc>
        <w:tc>
          <w:tcPr>
            <w:tcW w:type="dxa" w:w="6600"/>
            <w:shd w:fill="1F4E5F" w:val="clear"/>
            <w:tcMar>
              <w:top w:type="dxa" w:w="80"/>
              <w:left w:type="dxa" w:w="100"/>
              <w:bottom w:type="dxa" w:w="80"/>
              <w:right w:type="dxa" w:w="100"/>
            </w:tcMar>
          </w:tcPr>
          <w:p>
            <w:pPr>
              <w:spacing w:after="0" w:line="252"/>
            </w:pPr>
            <w:r>
              <w:rPr>
                <w:rFonts w:ascii="Calibri" w:cs="Calibri" w:eastAsia="Calibri" w:hAnsi="Calibri"/>
                <w:b/>
                <w:bCs/>
                <w:color w:val="FFFFFF"/>
                <w:sz w:val="20"/>
                <w:szCs w:val="20"/>
              </w:rPr>
              <w:t xml:space="preserve">SEDAS — Social Engineering Defence and Awareness System</w:t>
            </w:r>
          </w:p>
        </w:tc>
      </w:tr>
      <w:tr>
        <w:trPr>
          <w:tblHeader w:val="false"/>
        </w:trPr>
        <w:tc>
          <w:tcPr>
            <w:tcW w:type="dxa" w:w="26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Team</w:t>
            </w:r>
          </w:p>
        </w:tc>
        <w:tc>
          <w:tcPr>
            <w:tcW w:type="dxa" w:w="66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Ashraful Islam (240135) · Huzaifa Iqbal (240220) · Sonu (250001) · Dominic Kipchirchir (240401)</w:t>
            </w:r>
          </w:p>
        </w:tc>
      </w:tr>
      <w:tr>
        <w:trPr>
          <w:tblHeader w:val="false"/>
        </w:trPr>
        <w:tc>
          <w:tcPr>
            <w:tcW w:type="dxa" w:w="26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Format</w:t>
            </w:r>
          </w:p>
        </w:tc>
        <w:tc>
          <w:tcPr>
            <w:tcW w:type="dxa" w:w="66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Supervisor questions each member individually about the project and their part</w:t>
            </w:r>
          </w:p>
        </w:tc>
      </w:tr>
      <w:tr>
        <w:trPr>
          <w:tblHeader w:val="false"/>
        </w:trPr>
        <w:tc>
          <w:tcPr>
            <w:tcW w:type="dxa" w:w="26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How to use this</w:t>
            </w:r>
          </w:p>
        </w:tc>
        <w:tc>
          <w:tcPr>
            <w:tcW w:type="dxa" w:w="66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Read Parts 1 and 2 (everyone must know these — the dataset and benchmark comparison is the supervisor's main focus). Then read your own section. Then read one other person's section, because the examiner may ask you about a module you did not build.</w:t>
            </w:r>
          </w:p>
        </w:tc>
      </w:tr>
    </w:tbl>
    <w:p>
      <w:pPr>
        <w:spacing w:after="130" w:line="276"/>
        <w:jc w:val="both"/>
      </w:pPr>
      <w:r>
        <w:rPr>
          <w:rFonts w:ascii="Calibri" w:cs="Calibri" w:eastAsia="Calibri" w:hAnsi="Calibri"/>
          <w:b/>
          <w:bCs/>
          <w:i/>
          <w:iCs/>
          <w:sz w:val="22"/>
          <w:szCs w:val="22"/>
        </w:rPr>
        <w:t xml:space="preserve">These are model answers, not scripts. Say them in your own words. A confident answer in imperfect English beats a memorised paragraph delivered blankly — the examiner is testing understanding, not recitation.</w:t>
      </w:r>
    </w:p>
    <w:p>
      <w:r>
        <w:br w:type="page"/>
      </w:r>
    </w:p>
    <w:p>
      <w:pPr>
        <w:pStyle w:val="Heading1"/>
        <w:spacing w:after="160" w:before="360"/>
      </w:pPr>
      <w:r>
        <w:rPr>
          <w:rFonts w:ascii="Calibri" w:cs="Calibri" w:eastAsia="Calibri" w:hAnsi="Calibri"/>
          <w:b/>
          <w:bCs/>
          <w:color w:val="1F4E5F"/>
          <w:sz w:val="30"/>
          <w:szCs w:val="30"/>
        </w:rPr>
        <w:t xml:space="preserve">Part 1 — Every member must be able to answer these</w:t>
      </w:r>
    </w:p>
    <w:p>
      <w:pPr>
        <w:pStyle w:val="Heading2"/>
        <w:spacing w:after="120" w:before="280"/>
      </w:pPr>
      <w:r>
        <w:rPr>
          <w:rFonts w:ascii="Calibri" w:cs="Calibri" w:eastAsia="Calibri" w:hAnsi="Calibri"/>
          <w:b/>
          <w:bCs/>
          <w:color w:val="1F4E5F"/>
          <w:sz w:val="24"/>
          <w:szCs w:val="24"/>
        </w:rPr>
        <w:t xml:space="preserve">The project</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What problem does SEDAS solve?</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Social engineering — attacks that manipulate people rather than break technology. Phishing is the most common form and it is the starting point for the large majority of successful breaches in the higher-education sector. Technical filters alone do not stop it, because the vulnerability is human judgement under pressure. SEDAS attacks the problem from both sides: it detects malicious emails and URLs technically, and it strengthens the human target through adaptive awareness training.</w:t>
      </w:r>
    </w:p>
    <w:p>
      <w:pPr>
        <w:spacing w:after="150" w:line="264"/>
        <w:ind w:left="360"/>
        <w:jc w:val="both"/>
      </w:pPr>
      <w:r>
        <w:rPr>
          <w:rFonts w:ascii="Calibri" w:cs="Calibri" w:eastAsia="Calibri" w:hAnsi="Calibri"/>
          <w:i/>
          <w:iCs/>
          <w:color w:val="555555"/>
          <w:sz w:val="20"/>
          <w:szCs w:val="20"/>
        </w:rPr>
        <w:t xml:space="preserve">If pressed: Give the concrete scenario: a student receives an 'account suspension' email, SEDAS scores it 98/100 phishing and shows why; the URL in it is blocked against a tamper-evident registry; and the student is served a short lesson on urgency tactics.</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What are the main components of the system?</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Four, built as independent microservices with REST APIs. One: the phishing detection service, a machine-learning classifier that scores email text and explains which words triggered it. Two: the URL verification service, which analyses a link heuristically and checks it against a hash-chained tamper-evident registry. Three: the awareness training module, which serves persona-based micro-lessons and tracks each user's risk. Four: the frontend and governance dashboard that presents all of it.</w:t>
      </w:r>
    </w:p>
    <w:p>
      <w:pPr>
        <w:spacing w:after="150" w:line="264"/>
        <w:ind w:left="360"/>
        <w:jc w:val="both"/>
      </w:pPr>
      <w:r>
        <w:rPr>
          <w:rFonts w:ascii="Calibri" w:cs="Calibri" w:eastAsia="Calibri" w:hAnsi="Calibri"/>
          <w:i/>
          <w:iCs/>
          <w:color w:val="555555"/>
          <w:sz w:val="20"/>
          <w:szCs w:val="20"/>
        </w:rPr>
        <w:t xml:space="preserve">If pressed: Microservices were retained from the Part A architecture so each component can be developed, tested and later scaled independently.</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Which methodology did you use, and why?</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The Unified Process governs the lifecycle — Inception and Elaboration in Week 1, Construction through the build sprints, and Transition from the MVP demonstration onward, with a specification sign-off gate before Construction began. Inside those phases we work in Agile DevSecOps style: short sprints, continuous integration running tests on every push, and security considered throughout rather than at the end. UP tells us when we may move forward; Agile tells us how we work each week. They are not alternatives — UP is iterative by design, so sprints fit naturally inside Construction and Transition.</w:t>
      </w:r>
    </w:p>
    <w:p>
      <w:pPr>
        <w:spacing w:after="150" w:line="264"/>
        <w:ind w:left="360"/>
        <w:jc w:val="both"/>
      </w:pPr>
      <w:r>
        <w:rPr>
          <w:rFonts w:ascii="Calibri" w:cs="Calibri" w:eastAsia="Calibri" w:hAnsi="Calibri"/>
          <w:i/>
          <w:iCs/>
          <w:color w:val="555555"/>
          <w:sz w:val="20"/>
          <w:szCs w:val="20"/>
        </w:rPr>
        <w:t xml:space="preserve">If pressed: RAD principles complement both: we built demonstrable prototypes early so stakeholder feedback responds to working software rather than documents.</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What did you change from the Part A design, and why?</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We recorded eight formal refinements. The three biggest: Ethereum smart contracts became a hash-chained append-only registry, preserving tamper-evidence without gas fees, wallets or block latency that add no assessable value in eight weeks. Live LMS, SIEM and SSO integrations became mock endpoints implementing the documented API contracts, because a student team has no access to production institutional systems. And the latency target moved from under 200 milliseconds on GPU hardware to under 2 seconds on CPU — we actually achieve around 10 milliseconds. Every change is in the refinement register with its justification, and each deferred item is documented as future work.</w:t>
      </w:r>
    </w:p>
    <w:p>
      <w:pPr>
        <w:spacing w:after="150" w:line="264"/>
        <w:ind w:left="360"/>
        <w:jc w:val="both"/>
      </w:pPr>
      <w:r>
        <w:rPr>
          <w:rFonts w:ascii="Calibri" w:cs="Calibri" w:eastAsia="Calibri" w:hAnsi="Calibri"/>
          <w:i/>
          <w:iCs/>
          <w:color w:val="555555"/>
          <w:sz w:val="20"/>
          <w:szCs w:val="20"/>
        </w:rPr>
        <w:t xml:space="preserve">If pressed: Descoping was not a retreat — critiquing and refining the specification is explicitly the first learning outcome of this unit.</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How do you know your results are any good?</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We benchmarked against a peer-reviewed paper that used the identical dataset. Our dataset is the Kaggle combined corpus of about 82,500 emails from six public sources, and it was published by its authors alongside Al-Subaiey and colleagues, 2024, in Computers and Electrical Engineering. They used TF-IDF features with an SVM classifier and reported an F1 score of 0.99. We replicated that pipeline on the same data and achieved 0.9916, with a false-positive rate of 0.95 percent. Our logistic regression baseline achieves 0.9865. So the comparison is like-for-like on identical data, and it validates our pipeline.</w:t>
      </w:r>
    </w:p>
    <w:p>
      <w:pPr>
        <w:spacing w:after="150" w:line="264"/>
        <w:ind w:left="360"/>
        <w:jc w:val="both"/>
      </w:pPr>
      <w:r>
        <w:rPr>
          <w:rFonts w:ascii="Calibri" w:cs="Calibri" w:eastAsia="Calibri" w:hAnsi="Calibri"/>
          <w:i/>
          <w:iCs/>
          <w:color w:val="555555"/>
          <w:sz w:val="20"/>
          <w:szCs w:val="20"/>
        </w:rPr>
        <w:t xml:space="preserve">If pressed: We also report what the paper does not: false-positive rates, full confusion matrices, and measured per-request latency.</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How did your team divide the work?</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By module, with one accountable owner each, recorded in a RACI matrix in the project plan. Ashraful owns the detection and URL services plus the frontend and dashboard. Dominic owns the training module's scoring engine. Sonu owns the awareness content library and the project records. Huzaifa owns security assessment, the test framework and user documentation. Everyone writes tests for their own module and contributes weekly to the project log, and we run teach-back sessions so each of us can explain modules we did not build.</w:t>
      </w:r>
    </w:p>
    <w:p>
      <w:pPr>
        <w:spacing w:after="150" w:line="264"/>
        <w:ind w:left="360"/>
        <w:jc w:val="both"/>
      </w:pPr>
      <w:r>
        <w:rPr>
          <w:rFonts w:ascii="Calibri" w:cs="Calibri" w:eastAsia="Calibri" w:hAnsi="Calibri"/>
          <w:i/>
          <w:iCs/>
          <w:color w:val="555555"/>
          <w:sz w:val="20"/>
          <w:szCs w:val="20"/>
        </w:rPr>
        <w:t xml:space="preserve">If pressed: Cross-knowledge is deliberate: it is how we avoid a single point of failure in the team.</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How did you use AI tools, and how is that not a problem?</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We used AI assistance for scaffolding code and drafting documents, and we disclose it in every project log entry with what it was used for and how we verified the output. Everything was reviewed, executed and tested by us — the results, the benchmark comparison and the design decisions are ours. The unit outline explicitly requires referencing code sources and generators, and the AHE AI guidelines permit assisted work that is disclosed. Hiding it would be the misconduct risk; documenting it is the requirement.</w:t>
      </w:r>
    </w:p>
    <w:p>
      <w:pPr>
        <w:spacing w:after="150" w:line="264"/>
        <w:ind w:left="360"/>
        <w:jc w:val="both"/>
      </w:pPr>
      <w:r>
        <w:rPr>
          <w:rFonts w:ascii="Calibri" w:cs="Calibri" w:eastAsia="Calibri" w:hAnsi="Calibri"/>
          <w:i/>
          <w:iCs/>
          <w:color w:val="555555"/>
          <w:sz w:val="20"/>
          <w:szCs w:val="20"/>
        </w:rPr>
        <w:t xml:space="preserve">If pressed: The test of ownership is whether we can explain and defend every decision — which is what this session is for.</w:t>
      </w:r>
    </w:p>
    <w:p>
      <w:pPr>
        <w:pStyle w:val="Heading2"/>
        <w:spacing w:after="120" w:before="280"/>
      </w:pPr>
      <w:r>
        <w:rPr>
          <w:rFonts w:ascii="Calibri" w:cs="Calibri" w:eastAsia="Calibri" w:hAnsi="Calibri"/>
          <w:b/>
          <w:bCs/>
          <w:color w:val="1F4E5F"/>
          <w:sz w:val="24"/>
          <w:szCs w:val="24"/>
        </w:rPr>
        <w:t xml:space="preserve">Ethics, security and privacy (asked of everyone)</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What ethical and privacy considerations does SEDAS raise?</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Three main ones. First, data: we train and test only on public research corpora and use fictitious identities in the training module — no real student or staff email or personal data is processed, so we comply with the Australian Privacy Principles by design. Second, consent in simulation: any simulated phishing is confined to seeded test accounts the team controls, so nobody is deceived without knowing. Third, psychological safety: the awareness content avoids blame framing, because a culture where people fear reporting a mistake is less safe, not more.</w:t>
      </w:r>
    </w:p>
    <w:p>
      <w:pPr>
        <w:spacing w:after="150" w:line="264"/>
        <w:ind w:left="360"/>
        <w:jc w:val="both"/>
      </w:pPr>
      <w:r>
        <w:rPr>
          <w:rFonts w:ascii="Calibri" w:cs="Calibri" w:eastAsia="Calibri" w:hAnsi="Calibri"/>
          <w:i/>
          <w:iCs/>
          <w:color w:val="555555"/>
          <w:sz w:val="20"/>
          <w:szCs w:val="20"/>
        </w:rPr>
        <w:t xml:space="preserve">If pressed: In production, the design would require retention schedules, access audits and breach-notification readiness — documented as future work.</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What are the limitations of your system?</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Honestly, several. The model is trained on public research corpora, so performance on live institutional mail would likely be lower due to domain shift. There is no authentication or role-based access control yet — that is our largest open security finding. The blockchain component is a proof of concept rather than a distributed ledger. Behavioural KPIs such as reduction in risky clicks can only be demonstrated in simulation, not measured on a real population. And the training content library is small relative to a production programme.</w:t>
      </w:r>
    </w:p>
    <w:p>
      <w:pPr>
        <w:spacing w:after="150" w:line="264"/>
        <w:ind w:left="360"/>
        <w:jc w:val="both"/>
      </w:pPr>
      <w:r>
        <w:rPr>
          <w:rFonts w:ascii="Calibri" w:cs="Calibri" w:eastAsia="Calibri" w:hAnsi="Calibri"/>
          <w:i/>
          <w:iCs/>
          <w:color w:val="555555"/>
          <w:sz w:val="20"/>
          <w:szCs w:val="20"/>
        </w:rPr>
        <w:t xml:space="preserve">If pressed: Naming limitations accurately is stronger than overclaiming — every one of these is recorded in the project documentation.</w:t>
      </w:r>
    </w:p>
    <w:p>
      <w:r>
        <w:br w:type="page"/>
      </w:r>
    </w:p>
    <w:p>
      <w:pPr>
        <w:pStyle w:val="Heading1"/>
        <w:spacing w:after="160" w:before="360"/>
      </w:pPr>
      <w:r>
        <w:rPr>
          <w:rFonts w:ascii="Calibri" w:cs="Calibri" w:eastAsia="Calibri" w:hAnsi="Calibri"/>
          <w:b/>
          <w:bCs/>
          <w:color w:val="1F4E5F"/>
          <w:sz w:val="30"/>
          <w:szCs w:val="30"/>
        </w:rPr>
        <w:t xml:space="preserve">Part 2 — The dataset and the benchmark comparison</w:t>
      </w:r>
    </w:p>
    <w:p>
      <w:pPr>
        <w:spacing w:after="130" w:line="276"/>
        <w:jc w:val="both"/>
      </w:pPr>
      <w:r>
        <w:rPr>
          <w:rFonts w:ascii="Calibri" w:cs="Calibri" w:eastAsia="Calibri" w:hAnsi="Calibri"/>
          <w:i/>
          <w:iCs/>
          <w:sz w:val="22"/>
          <w:szCs w:val="22"/>
        </w:rPr>
        <w:t xml:space="preserve">This is the area the supervisor emphasised most strongly. Every member should know the headline numbers; Ashraful should be able to defend the detail.</w:t>
      </w:r>
    </w:p>
    <w:p>
      <w:pPr>
        <w:pStyle w:val="Heading2"/>
        <w:spacing w:after="120" w:before="280"/>
      </w:pPr>
      <w:r>
        <w:rPr>
          <w:rFonts w:ascii="Calibri" w:cs="Calibri" w:eastAsia="Calibri" w:hAnsi="Calibri"/>
          <w:b/>
          <w:bCs/>
          <w:color w:val="1F4E5F"/>
          <w:sz w:val="24"/>
          <w:szCs w:val="24"/>
        </w:rPr>
        <w:t xml:space="preserve">Numbers to memorise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rPr>
          <w:tblHeader/>
        </w:trPr>
        <w:tc>
          <w:tcPr>
            <w:tcW w:type="dxa" w:w="3000"/>
            <w:shd w:fill="1F4E5F" w:val="clear"/>
            <w:tcMar>
              <w:top w:type="dxa" w:w="80"/>
              <w:left w:type="dxa" w:w="100"/>
              <w:bottom w:type="dxa" w:w="80"/>
              <w:right w:type="dxa" w:w="100"/>
            </w:tcMar>
          </w:tcPr>
          <w:p>
            <w:pPr>
              <w:spacing w:after="0" w:line="252"/>
            </w:pPr>
            <w:r>
              <w:rPr>
                <w:rFonts w:ascii="Calibri" w:cs="Calibri" w:eastAsia="Calibri" w:hAnsi="Calibri"/>
                <w:b/>
                <w:bCs/>
                <w:color w:val="FFFFFF"/>
                <w:sz w:val="20"/>
                <w:szCs w:val="20"/>
              </w:rPr>
              <w:t xml:space="preserve">Item</w:t>
            </w:r>
          </w:p>
        </w:tc>
        <w:tc>
          <w:tcPr>
            <w:tcW w:type="dxa" w:w="3100"/>
            <w:shd w:fill="1F4E5F" w:val="clear"/>
            <w:tcMar>
              <w:top w:type="dxa" w:w="80"/>
              <w:left w:type="dxa" w:w="100"/>
              <w:bottom w:type="dxa" w:w="80"/>
              <w:right w:type="dxa" w:w="100"/>
            </w:tcMar>
          </w:tcPr>
          <w:p>
            <w:pPr>
              <w:spacing w:after="0" w:line="252"/>
            </w:pPr>
            <w:r>
              <w:rPr>
                <w:rFonts w:ascii="Calibri" w:cs="Calibri" w:eastAsia="Calibri" w:hAnsi="Calibri"/>
                <w:b/>
                <w:bCs/>
                <w:color w:val="FFFFFF"/>
                <w:sz w:val="20"/>
                <w:szCs w:val="20"/>
              </w:rPr>
              <w:t xml:space="preserve">Published paper [41]</w:t>
            </w:r>
          </w:p>
        </w:tc>
        <w:tc>
          <w:tcPr>
            <w:tcW w:type="dxa" w:w="3100"/>
            <w:shd w:fill="1F4E5F" w:val="clear"/>
            <w:tcMar>
              <w:top w:type="dxa" w:w="80"/>
              <w:left w:type="dxa" w:w="100"/>
              <w:bottom w:type="dxa" w:w="80"/>
              <w:right w:type="dxa" w:w="100"/>
            </w:tcMar>
          </w:tcPr>
          <w:p>
            <w:pPr>
              <w:spacing w:after="0" w:line="252"/>
            </w:pPr>
            <w:r>
              <w:rPr>
                <w:rFonts w:ascii="Calibri" w:cs="Calibri" w:eastAsia="Calibri" w:hAnsi="Calibri"/>
                <w:b/>
                <w:bCs/>
                <w:color w:val="FFFFFF"/>
                <w:sz w:val="20"/>
                <w:szCs w:val="20"/>
              </w:rPr>
              <w:t xml:space="preserve">SEDAS (ours)</w:t>
            </w:r>
          </w:p>
        </w:tc>
      </w:tr>
      <w:tr>
        <w:trPr>
          <w:tblHeader w:val="false"/>
        </w:trPr>
        <w:tc>
          <w:tcPr>
            <w:tcW w:type="dxa" w:w="30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Dataset</w:t>
            </w:r>
          </w:p>
        </w:tc>
        <w:tc>
          <w:tcPr>
            <w:tcW w:type="dxa" w:w="31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Combined public corpus, ~82,500 emails</w:t>
            </w:r>
          </w:p>
        </w:tc>
        <w:tc>
          <w:tcPr>
            <w:tcW w:type="dxa" w:w="31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Identical corpus, 82,486 usable rows</w:t>
            </w:r>
          </w:p>
        </w:tc>
      </w:tr>
      <w:tr>
        <w:trPr>
          <w:tblHeader w:val="false"/>
        </w:trPr>
        <w:tc>
          <w:tcPr>
            <w:tcW w:type="dxa" w:w="30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Class split</w:t>
            </w:r>
          </w:p>
        </w:tc>
        <w:tc>
          <w:tcPr>
            <w:tcW w:type="dxa" w:w="31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42,891 phishing / 39,595 legitimate</w:t>
            </w:r>
          </w:p>
        </w:tc>
        <w:tc>
          <w:tcPr>
            <w:tcW w:type="dxa" w:w="31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42,891 phishing / 39,595 legitimate</w:t>
            </w:r>
          </w:p>
        </w:tc>
      </w:tr>
      <w:tr>
        <w:trPr>
          <w:tblHeader w:val="false"/>
        </w:trPr>
        <w:tc>
          <w:tcPr>
            <w:tcW w:type="dxa" w:w="30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Features</w:t>
            </w:r>
          </w:p>
        </w:tc>
        <w:tc>
          <w:tcPr>
            <w:tcW w:type="dxa" w:w="31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TF-IDF</w:t>
            </w:r>
          </w:p>
        </w:tc>
        <w:tc>
          <w:tcPr>
            <w:tcW w:type="dxa" w:w="31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TF-IDF (50k features, 1–2 grams)</w:t>
            </w:r>
          </w:p>
        </w:tc>
      </w:tr>
      <w:tr>
        <w:trPr>
          <w:tblHeader w:val="false"/>
        </w:trPr>
        <w:tc>
          <w:tcPr>
            <w:tcW w:type="dxa" w:w="30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Classifier</w:t>
            </w:r>
          </w:p>
        </w:tc>
        <w:tc>
          <w:tcPr>
            <w:tcW w:type="dxa" w:w="31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SVM</w:t>
            </w:r>
          </w:p>
        </w:tc>
        <w:tc>
          <w:tcPr>
            <w:tcW w:type="dxa" w:w="31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LinearSVC (replication) + Logistic Regression (baseline)</w:t>
            </w:r>
          </w:p>
        </w:tc>
      </w:tr>
      <w:tr>
        <w:trPr>
          <w:tblHeader w:val="false"/>
        </w:trPr>
        <w:tc>
          <w:tcPr>
            <w:tcW w:type="dxa" w:w="30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F1 score</w:t>
            </w:r>
          </w:p>
        </w:tc>
        <w:tc>
          <w:tcPr>
            <w:tcW w:type="dxa" w:w="31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0.99</w:t>
            </w:r>
          </w:p>
        </w:tc>
        <w:tc>
          <w:tcPr>
            <w:tcW w:type="dxa" w:w="31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0.9916 (SVM) · 0.9865 (LR)</w:t>
            </w:r>
          </w:p>
        </w:tc>
      </w:tr>
      <w:tr>
        <w:trPr>
          <w:tblHeader w:val="false"/>
        </w:trPr>
        <w:tc>
          <w:tcPr>
            <w:tcW w:type="dxa" w:w="30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False-positive rate</w:t>
            </w:r>
          </w:p>
        </w:tc>
        <w:tc>
          <w:tcPr>
            <w:tcW w:type="dxa" w:w="31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not reported</w:t>
            </w:r>
          </w:p>
        </w:tc>
        <w:tc>
          <w:tcPr>
            <w:tcW w:type="dxa" w:w="31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0.0095 (SVM) · 0.0144 (LR)</w:t>
            </w:r>
          </w:p>
        </w:tc>
      </w:tr>
      <w:tr>
        <w:trPr>
          <w:tblHeader w:val="false"/>
        </w:trPr>
        <w:tc>
          <w:tcPr>
            <w:tcW w:type="dxa" w:w="30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Confusion matrix</w:t>
            </w:r>
          </w:p>
        </w:tc>
        <w:tc>
          <w:tcPr>
            <w:tcW w:type="dxa" w:w="31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not reported</w:t>
            </w:r>
          </w:p>
        </w:tc>
        <w:tc>
          <w:tcPr>
            <w:tcW w:type="dxa" w:w="31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SVM: TN 7844 · FP 75 · FN 70 · TP 8509</w:t>
            </w:r>
          </w:p>
        </w:tc>
      </w:tr>
      <w:tr>
        <w:trPr>
          <w:tblHeader w:val="false"/>
        </w:trPr>
        <w:tc>
          <w:tcPr>
            <w:tcW w:type="dxa" w:w="30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Latency</w:t>
            </w:r>
          </w:p>
        </w:tc>
        <w:tc>
          <w:tcPr>
            <w:tcW w:type="dxa" w:w="31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not reported</w:t>
            </w:r>
          </w:p>
        </w:tc>
        <w:tc>
          <w:tcPr>
            <w:tcW w:type="dxa" w:w="31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 9–11 ms per request on CPU</w:t>
            </w:r>
          </w:p>
        </w:tc>
      </w:tr>
      <w:tr>
        <w:trPr>
          <w:tblHeader w:val="false"/>
        </w:trPr>
        <w:tc>
          <w:tcPr>
            <w:tcW w:type="dxa" w:w="30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Explainability</w:t>
            </w:r>
          </w:p>
        </w:tc>
        <w:tc>
          <w:tcPr>
            <w:tcW w:type="dxa" w:w="31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LIME</w:t>
            </w:r>
          </w:p>
        </w:tc>
        <w:tc>
          <w:tcPr>
            <w:tcW w:type="dxa" w:w="31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Coefficient-weighted top indicators</w:t>
            </w:r>
          </w:p>
        </w:tc>
      </w:tr>
    </w:tbl>
    <w:p>
      <w:pPr>
        <w:spacing w:after="130" w:line="276"/>
        <w:jc w:val="both"/>
      </w:pPr>
      <w:r>
        <w:rPr>
          <w:rFonts w:ascii="Calibri" w:cs="Calibri" w:eastAsia="Calibri" w:hAnsi="Calibri"/>
          <w:i/>
          <w:iCs/>
          <w:sz w:val="22"/>
          <w:szCs w:val="22"/>
        </w:rPr>
        <w:t xml:space="preserve">Test set: 16,498 held-out emails from an 80/20 stratified split with a fixed random seed (42) for reproducibility. Training set: 65,988.</w:t>
      </w:r>
    </w:p>
    <w:p>
      <w:pPr>
        <w:pStyle w:val="Heading2"/>
        <w:spacing w:after="120" w:before="280"/>
      </w:pPr>
      <w:r>
        <w:rPr>
          <w:rFonts w:ascii="Calibri" w:cs="Calibri" w:eastAsia="Calibri" w:hAnsi="Calibri"/>
          <w:b/>
          <w:bCs/>
          <w:color w:val="1F4E5F"/>
          <w:sz w:val="24"/>
          <w:szCs w:val="24"/>
        </w:rPr>
        <w:t xml:space="preserve">Questions</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Which dataset are you using, and where did it come from?</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The Phishing Email Dataset published on Kaggle by Naser Abdullah Alam — a combined corpus merging six public sources: Enron, Ling-Spam, CEAS 2008, the Nazario phishing corpus, Nigerian Fraud emails, and SpamAssassin. It is freely available, it is the largest public corpus of its kind, and it is widely cited in 2024 to 2026 peer-reviewed work. We load 82,486 usable records after dropping nulls: 42,891 phishing and 39,595 legitimate.</w:t>
      </w:r>
    </w:p>
    <w:p>
      <w:pPr>
        <w:spacing w:after="150" w:line="264"/>
        <w:ind w:left="360"/>
        <w:jc w:val="both"/>
      </w:pPr>
      <w:r>
        <w:rPr>
          <w:rFonts w:ascii="Calibri" w:cs="Calibri" w:eastAsia="Calibri" w:hAnsi="Calibri"/>
          <w:i/>
          <w:iCs/>
          <w:color w:val="555555"/>
          <w:sz w:val="20"/>
          <w:szCs w:val="20"/>
        </w:rPr>
        <w:t xml:space="preserve">If pressed: The text field is 'text_combined', which merges subject and body, with a binary label — 1 for phishing, 0 for legitimate.</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Which paper does that dataset come from, and is it recent?</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The dataset was published by its authors alongside their own peer-reviewed study: Al-Subaiey, Al-Thani, Alam, Antora, Khandakar and Zaman, 2024, 'Novel interpretable and robust web-based AI platform for phishing email detection', in Computers and Electrical Engineering, volume 120, article 109625. It is a 2024 journal publication, not an old one. In our documentation we number it reference [41], continuing the register of forty references from our Part A report.</w:t>
      </w:r>
    </w:p>
    <w:p>
      <w:pPr>
        <w:spacing w:after="150" w:line="264"/>
        <w:ind w:left="360"/>
        <w:jc w:val="both"/>
      </w:pPr>
      <w:r>
        <w:rPr>
          <w:rFonts w:ascii="Calibri" w:cs="Calibri" w:eastAsia="Calibri" w:hAnsi="Calibri"/>
          <w:i/>
          <w:iCs/>
          <w:color w:val="555555"/>
          <w:sz w:val="20"/>
          <w:szCs w:val="20"/>
        </w:rPr>
        <w:t xml:space="preserve">If pressed: There is also an arXiv preprint, 2405.11619, if the examiner wants to look at it immediately.</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How do you know it is the SAME dataset, not just a similar one?</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The class counts match exactly. The paper states its integrated dataset comprised 42,891 spam and 39,595 legitimate emails, totalling almost 82,500. When we load the Kaggle file we get precisely 42,891 and 39,595, totalling 82,486 after dropping empty rows. Identical class counts on both labels is not a coincidence — it is the same merged corpus, assembled by the same authors who published the paper.</w:t>
      </w:r>
    </w:p>
    <w:p>
      <w:pPr>
        <w:spacing w:after="150" w:line="264"/>
        <w:ind w:left="360"/>
        <w:jc w:val="both"/>
      </w:pPr>
      <w:r>
        <w:rPr>
          <w:rFonts w:ascii="Calibri" w:cs="Calibri" w:eastAsia="Calibri" w:hAnsi="Calibri"/>
          <w:i/>
          <w:iCs/>
          <w:color w:val="555555"/>
          <w:sz w:val="20"/>
          <w:szCs w:val="20"/>
        </w:rPr>
        <w:t xml:space="preserve">If pressed: The paper also describes the same merge process: Enron and Ling into one frame, CEAS, Nazario, Nigerian Fraud and SpamAssassin into another, harmonised into a single 'text_combined' column — which is exactly the column name in the file we use.</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Why does using the same dataset matter?</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Because otherwise the comparison is meaningless. If we ran our model on a different corpus and reported a different F1, the difference could be explained entirely by the data — easier emails, different class balance, different era of attacks — rather than by anything about our approach. Same dataset, same split methodology, same feature representation is what makes the numbers comparable. That is why we searched for a paper that used our exact data rather than simply citing a paper with a similar topic.</w:t>
      </w:r>
    </w:p>
    <w:p>
      <w:pPr>
        <w:spacing w:after="150" w:line="264"/>
        <w:ind w:left="360"/>
        <w:jc w:val="both"/>
      </w:pPr>
      <w:r>
        <w:rPr>
          <w:rFonts w:ascii="Calibri" w:cs="Calibri" w:eastAsia="Calibri" w:hAnsi="Calibri"/>
          <w:i/>
          <w:iCs/>
          <w:color w:val="555555"/>
          <w:sz w:val="20"/>
          <w:szCs w:val="20"/>
        </w:rPr>
        <w:t xml:space="preserve">If pressed: Our supervisor set this explicitly as the condition for a defensible comparison, and it is why we treat [41] as the primary benchmark.</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What are the parameters you compare on?</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The evaluation parameters come from our Part A literature review: classification accuracy, precision, recall, F1 score, false-positive rate and detection latency. References [3], [7] and [8] in the Part A register established these — the explainable-AI phishing study, the 2025 survey of phishing detection techniques and datasets, and the review of recent advances in phishing detection, whose comparative analysis of a CNN-LSTM email detection approach is where our Part A accuracy and latency targets came from. The benchmark paper [41] reports accuracy, precision, recall and F1 on the same data, so the parameters line up.</w:t>
      </w:r>
    </w:p>
    <w:p>
      <w:pPr>
        <w:spacing w:after="150" w:line="264"/>
        <w:ind w:left="360"/>
        <w:jc w:val="both"/>
      </w:pPr>
      <w:r>
        <w:rPr>
          <w:rFonts w:ascii="Calibri" w:cs="Calibri" w:eastAsia="Calibri" w:hAnsi="Calibri"/>
          <w:i/>
          <w:iCs/>
          <w:color w:val="555555"/>
          <w:sz w:val="20"/>
          <w:szCs w:val="20"/>
        </w:rPr>
        <w:t xml:space="preserve">If pressed: So Part A anchored the parameters; Part B added the dataset's own source paper as the exact benchmark.</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What are your results compared with theirs?</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The paper reports an F1 score of 0.99 using TF-IDF features with an SVM classifier. We replicated that pipeline on the identical dataset with LinearSVC and achieved 0.9916 — accuracy 0.9912, precision 0.9913, recall 0.9918 — with a false-positive rate of 0.95 percent. Our logistic regression baseline on the same data reaches F1 0.9865 with a 1.44 percent false-positive rate. So the replication matches the published benchmark, which validates that our pipeline is implemented correctly.</w:t>
      </w:r>
    </w:p>
    <w:p>
      <w:pPr>
        <w:spacing w:after="150" w:line="264"/>
        <w:ind w:left="360"/>
        <w:jc w:val="both"/>
      </w:pPr>
      <w:r>
        <w:rPr>
          <w:rFonts w:ascii="Calibri" w:cs="Calibri" w:eastAsia="Calibri" w:hAnsi="Calibri"/>
          <w:i/>
          <w:iCs/>
          <w:color w:val="555555"/>
          <w:sz w:val="20"/>
          <w:szCs w:val="20"/>
        </w:rPr>
        <w:t xml:space="preserve">If pressed: On the 16,498 held-out emails the SVM produced 75 false positives and 70 false negatives out of 8,579 phishing and 7,919 legitimate messages.</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Your SVM gives 0.9916 and theirs gives 0.99. Why not identical?</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Because identical numbers would actually be suspicious. Differences of that size come from preprocessing and configuration details the paper does not fully specify — our TF-IDF uses 50,000 features with unigrams and bigrams and English stop-word removal, we use a specific train-test split with a fixed seed, we apply balanced class weights, and rows with null text are dropped. The paper rounds to two decimal places, so 0.99 could be anything from 0.985 to 0.995. The point of the replication is not to reproduce a number to four decimals, it is to confirm that the same approach on the same data lands in the same performance band — which it does.</w:t>
      </w:r>
    </w:p>
    <w:p>
      <w:pPr>
        <w:spacing w:after="150" w:line="264"/>
        <w:ind w:left="360"/>
        <w:jc w:val="both"/>
      </w:pPr>
      <w:r>
        <w:rPr>
          <w:rFonts w:ascii="Calibri" w:cs="Calibri" w:eastAsia="Calibri" w:hAnsi="Calibri"/>
          <w:i/>
          <w:iCs/>
          <w:color w:val="555555"/>
          <w:sz w:val="20"/>
          <w:szCs w:val="20"/>
        </w:rPr>
        <w:t xml:space="preserve">If pressed: If we had reported a wildly different figure, that would have signalled a defect in our pipeline. That is exactly what a replication is for.</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Is a comparison useful if you only match the benchmark rather than beat it?</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Yes, for two reasons. First, matching a published result on identical data is validation — it proves our implementation is sound, which is the precondition for anything else we claim. Second, our contribution was never to beat a classifier by a decimal place. It is the integrated system: detection combined with tamper-evident URL verification, adaptive persona-based awareness training, and governance analytics, which the benchmark paper does not have. We also report metrics the paper does not — false-positive rate, full confusion matrices, and measured per-request latency — which matters practically, because in a university deployment false positives destroy user trust faster than occasional misses.</w:t>
      </w:r>
    </w:p>
    <w:p>
      <w:pPr>
        <w:spacing w:after="150" w:line="264"/>
        <w:ind w:left="360"/>
        <w:jc w:val="both"/>
      </w:pPr>
      <w:r>
        <w:rPr>
          <w:rFonts w:ascii="Calibri" w:cs="Calibri" w:eastAsia="Calibri" w:hAnsi="Calibri"/>
          <w:i/>
          <w:iCs/>
          <w:color w:val="555555"/>
          <w:sz w:val="20"/>
          <w:szCs w:val="20"/>
        </w:rPr>
        <w:t xml:space="preserve">If pressed: The transformer extension with DistilBERT is where we test whether contextual embeddings improve on the classical approach; that is the experimental contribution rather than the integration contribution.</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What is the DistilBERT work and why do it?</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It is our planned extension: fine-tuning a distilled transformer on the same corpus and evaluating it with the same metrics, so we get a three-way comparison — the published SVM benchmark, our classical baseline, and a transformer. Part A proposed transformer-based semantic analysis, and recent literature on this same corpus explores exactly that direction, including a September 2025 dual-path study combining transformer NLP with structural URL analysis, which mirrors our own architecture. DistilBERT rather than full BERT because it runs on CPU within our timeline.</w:t>
      </w:r>
    </w:p>
    <w:p>
      <w:pPr>
        <w:spacing w:after="150" w:line="264"/>
        <w:ind w:left="360"/>
        <w:jc w:val="both"/>
      </w:pPr>
      <w:r>
        <w:rPr>
          <w:rFonts w:ascii="Calibri" w:cs="Calibri" w:eastAsia="Calibri" w:hAnsi="Calibri"/>
          <w:i/>
          <w:iCs/>
          <w:color w:val="555555"/>
          <w:sz w:val="20"/>
          <w:szCs w:val="20"/>
        </w:rPr>
        <w:t xml:space="preserve">If pressed: If it does not outperform TF-IDF on this dataset, that is still a legitimate finding worth reporting — negative results are results, provided the method is sound.</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How trustworthy are these numbers really?</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They are honest measurements on a held-out set the model never saw during training, with a fixed random seed so anyone can reproduce them by running our script. But I would not claim they predict live performance. The corpus is assembled from public research collections, some of it historical, and a real university mail stream would differ in language, formatting and attack style — that is domain shift, and performance would likely be lower. We state that limitation in our documentation rather than presenting the benchmark figure as a deployment guarantee.</w:t>
      </w:r>
    </w:p>
    <w:p>
      <w:pPr>
        <w:spacing w:after="150" w:line="264"/>
        <w:ind w:left="360"/>
        <w:jc w:val="both"/>
      </w:pPr>
      <w:r>
        <w:rPr>
          <w:rFonts w:ascii="Calibri" w:cs="Calibri" w:eastAsia="Calibri" w:hAnsi="Calibri"/>
          <w:i/>
          <w:iCs/>
          <w:color w:val="555555"/>
          <w:sz w:val="20"/>
          <w:szCs w:val="20"/>
        </w:rPr>
        <w:t xml:space="preserve">If pressed: The honest framing is: validated pipeline, competitive benchmark performance, unproven in production — which is exactly what an MVP is.</w:t>
      </w:r>
    </w:p>
    <w:p>
      <w:r>
        <w:br w:type="page"/>
      </w:r>
    </w:p>
    <w:p>
      <w:pPr>
        <w:pStyle w:val="Heading1"/>
        <w:spacing w:after="160" w:before="360"/>
      </w:pPr>
      <w:r>
        <w:rPr>
          <w:rFonts w:ascii="Calibri" w:cs="Calibri" w:eastAsia="Calibri" w:hAnsi="Calibri"/>
          <w:b/>
          <w:bCs/>
          <w:color w:val="1F4E5F"/>
          <w:sz w:val="30"/>
          <w:szCs w:val="30"/>
        </w:rPr>
        <w:t xml:space="preserve">Part 3 — Ashraful Islam (240135)</w:t>
      </w:r>
    </w:p>
    <w:p>
      <w:pPr>
        <w:spacing w:after="130" w:line="276"/>
        <w:jc w:val="both"/>
      </w:pPr>
      <w:r>
        <w:rPr>
          <w:rFonts w:ascii="Calibri" w:cs="Calibri" w:eastAsia="Calibri" w:hAnsi="Calibri"/>
          <w:i/>
          <w:iCs/>
          <w:sz w:val="22"/>
          <w:szCs w:val="22"/>
        </w:rPr>
        <w:t xml:space="preserve">Modules: phishing detection service, URL verification service, frontend and dashboard, benchmarking, stakeholder liaison.</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Walk me through what happens when someone submits an email to SEDAS.</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The browser posts the email text as JSON to the detection service's /classify endpoint on port 8001. The service loads a trained scikit-learn pipeline: a TF-IDF vectoriser converts the text into a weighted numerical vector over 50,000 features using unigrams and bigrams, and a logistic regression classifier produces a probability. We convert that to a risk score out of 100 and a label. For explainability we multiply the request's TF-IDF vector by the classifier's coefficients, which gives each term's contribution, and return the top five positive contributors. We also measure and return the latency. The whole round trip takes about 10 milliseconds.</w:t>
      </w:r>
    </w:p>
    <w:p>
      <w:pPr>
        <w:spacing w:after="150" w:line="264"/>
        <w:ind w:left="360"/>
        <w:jc w:val="both"/>
      </w:pPr>
      <w:r>
        <w:rPr>
          <w:rFonts w:ascii="Calibri" w:cs="Calibri" w:eastAsia="Calibri" w:hAnsi="Calibri"/>
          <w:i/>
          <w:iCs/>
          <w:color w:val="555555"/>
          <w:sz w:val="20"/>
          <w:szCs w:val="20"/>
        </w:rPr>
        <w:t xml:space="preserve">If pressed: The explainability step is why the demo shows 'account, http, click, verify, immediately' — those are the terms that pushed the score up.</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Why logistic regression and TF-IDF rather than a deep learning model?</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Three reasons. First, the benchmark paper we compare against uses exactly this feature representation, so like-for-like comparison requires it. Second, it is interpretable — we can extract per-term contributions directly from the coefficients, which satisfies our explainability requirement without a separate technique like LIME. Third, it is fast and CPU-friendly: about 10 milliseconds per request with no GPU. We also implemented an SVM replication that reaches 0.9916, and a transformer comparison using DistilBERT is planned to test whether contextual embeddings improve on the classical approach.</w:t>
      </w:r>
    </w:p>
    <w:p>
      <w:pPr>
        <w:spacing w:after="150" w:line="264"/>
        <w:ind w:left="360"/>
        <w:jc w:val="both"/>
      </w:pPr>
      <w:r>
        <w:rPr>
          <w:rFonts w:ascii="Calibri" w:cs="Calibri" w:eastAsia="Calibri" w:hAnsi="Calibri"/>
          <w:i/>
          <w:iCs/>
          <w:color w:val="555555"/>
          <w:sz w:val="20"/>
          <w:szCs w:val="20"/>
        </w:rPr>
        <w:t xml:space="preserve">If pressed: Part A proposed a CNN-LSTM hybrid; the refinement register records why we started classical and treat the transformer as the extension rather than the baseline.</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Your F1 is 0.9865 for the baseline. Is that good?</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It meets the Part A target of 0.95 and is close to the published benchmark of 0.99 on the same data, and our SVM replication reaches 0.9916. But the number I care about more is the false-positive rate — 1.44 percent for the baseline and 0.95 percent for the SVM. In a university deployment, wrongly flagging legitimate mail destroys user trust faster than missing the occasional phish, because people start ignoring the tool. That is why Part A set a separate target of under 2 percent and why we report it even though the benchmark paper does not.</w:t>
      </w:r>
    </w:p>
    <w:p>
      <w:pPr>
        <w:spacing w:after="150" w:line="264"/>
        <w:ind w:left="360"/>
        <w:jc w:val="both"/>
      </w:pPr>
      <w:r>
        <w:rPr>
          <w:rFonts w:ascii="Calibri" w:cs="Calibri" w:eastAsia="Calibri" w:hAnsi="Calibri"/>
          <w:i/>
          <w:iCs/>
          <w:color w:val="555555"/>
          <w:sz w:val="20"/>
          <w:szCs w:val="20"/>
        </w:rPr>
        <w:t xml:space="preserve">If pressed: On 16,498 held-out emails the SVM produced 75 false positives and 70 false negatives — that balance is what those percentages mean in practice.</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How does the URL verification service work?</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Two layers. The heuristic layer parses the URL and checks a set of indicators: absence of HTTPS, a raw IP address instead of a domain, an @ symbol that can hide the real destination, multiple hyphens, excessive subdomain depth, high-risk top-level domains, known URL shorteners, unusual length, and credential-lure keywords like login, verify or password. Each contributes to a risk score with the findings returned in plain English. The registry layer then checks whether the URL has been reported before, and the two combine into a verdict: blocked, suspicious, low risk or trusted.</w:t>
      </w:r>
    </w:p>
    <w:p>
      <w:pPr>
        <w:spacing w:after="150" w:line="264"/>
        <w:ind w:left="360"/>
        <w:jc w:val="both"/>
      </w:pPr>
      <w:r>
        <w:rPr>
          <w:rFonts w:ascii="Calibri" w:cs="Calibri" w:eastAsia="Calibri" w:hAnsi="Calibri"/>
          <w:i/>
          <w:iCs/>
          <w:color w:val="555555"/>
          <w:sz w:val="20"/>
          <w:szCs w:val="20"/>
        </w:rPr>
        <w:t xml:space="preserve">If pressed: Heuristics were chosen over a second ML model because they are explainable, need no training data, and produce findings a non-technical user can act on.</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You replaced blockchain with a database. Is that not just a table?</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It is a table, but with the property that matters. Every record stores the hash of the previous record, and its own hash is computed over its content plus that previous hash — so the records form a chain. If anyone edits a row in the database, its hash no longer matches, and every subsequent hash breaks too. Our /chain/validate endpoint recomputes the entire chain and reports whether it is intact and where it broke. That is tamper-evidence, which was the actual design intent of the blockchain layer in Part A. What we gave up is decentralisation — there is no distributed consensus, so a single administrator with database access could rewrite the whole chain. In a real deployment that is what a distributed ledger or an external anchor would solve, and it is documented as future work.</w:t>
      </w:r>
    </w:p>
    <w:p>
      <w:pPr>
        <w:spacing w:after="150" w:line="264"/>
        <w:ind w:left="360"/>
        <w:jc w:val="both"/>
      </w:pPr>
      <w:r>
        <w:rPr>
          <w:rFonts w:ascii="Calibri" w:cs="Calibri" w:eastAsia="Calibri" w:hAnsi="Calibri"/>
          <w:i/>
          <w:iCs/>
          <w:color w:val="555555"/>
          <w:sz w:val="20"/>
          <w:szCs w:val="20"/>
        </w:rPr>
        <w:t xml:space="preserve">If pressed: Being explicit about what the proof of concept does NOT provide is the strongest version of this answer.</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Why did you build the frontend in plain HTML rather than React?</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For the demonstration page, reliability beat sophistication: one file, no build step, no dependency chain that could fail during a live presentation, and it opens by double-clicking. The Part A architecture specifies a React single-page application, and that remains the plan for the full governance dashboard where component state and charting genuinely benefit from a framework. The demo page proved the end-to-end integration first — browser to two services and back — which is what the MVP needed to show.</w:t>
      </w:r>
    </w:p>
    <w:p>
      <w:pPr>
        <w:spacing w:after="150" w:line="264"/>
        <w:ind w:left="360"/>
        <w:jc w:val="both"/>
      </w:pPr>
      <w:r>
        <w:rPr>
          <w:rFonts w:ascii="Calibri" w:cs="Calibri" w:eastAsia="Calibri" w:hAnsi="Calibri"/>
          <w:i/>
          <w:iCs/>
          <w:color w:val="555555"/>
          <w:sz w:val="20"/>
          <w:szCs w:val="20"/>
        </w:rPr>
        <w:t xml:space="preserve">If pressed: It also let us verify the CORS configuration and API contracts early, which the React build now inherits.</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What was the hardest problem you solved?</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Scoping. The Part A design specified Kubernetes, Kafka, Ethereum and enterprise integrations — an architecture no four-person team could build or meaningfully evaluate in eight weeks. The hard part was deciding what to cut without gutting the design intent, and then justifying each cut in writing so it reads as engineering judgement rather than as failing to deliver. The hash-chain registry is the clearest example: it keeps the property the design needed while removing everything that added cost without adding evidence.</w:t>
      </w:r>
    </w:p>
    <w:p>
      <w:pPr>
        <w:spacing w:after="150" w:line="264"/>
        <w:ind w:left="360"/>
        <w:jc w:val="both"/>
      </w:pPr>
      <w:r>
        <w:rPr>
          <w:rFonts w:ascii="Calibri" w:cs="Calibri" w:eastAsia="Calibri" w:hAnsi="Calibri"/>
          <w:i/>
          <w:iCs/>
          <w:color w:val="555555"/>
          <w:sz w:val="20"/>
          <w:szCs w:val="20"/>
        </w:rPr>
        <w:t xml:space="preserve">If pressed: Technically, the fiddliest problem was cross-origin requests between the browser page and two separate services — solved with CORS middleware, and immediately logged as a security finding because permissive CORS must be restricted before deployment.</w:t>
      </w:r>
    </w:p>
    <w:p>
      <w:r>
        <w:br w:type="page"/>
      </w:r>
    </w:p>
    <w:p>
      <w:pPr>
        <w:pStyle w:val="Heading1"/>
        <w:spacing w:after="160" w:before="360"/>
      </w:pPr>
      <w:r>
        <w:rPr>
          <w:rFonts w:ascii="Calibri" w:cs="Calibri" w:eastAsia="Calibri" w:hAnsi="Calibri"/>
          <w:b/>
          <w:bCs/>
          <w:color w:val="1F4E5F"/>
          <w:sz w:val="30"/>
          <w:szCs w:val="30"/>
        </w:rPr>
        <w:t xml:space="preserve">Part 4 — Dominic Kipchirchir (240401)</w:t>
      </w:r>
    </w:p>
    <w:p>
      <w:pPr>
        <w:spacing w:after="130" w:line="276"/>
        <w:jc w:val="both"/>
      </w:pPr>
      <w:r>
        <w:rPr>
          <w:rFonts w:ascii="Calibri" w:cs="Calibri" w:eastAsia="Calibri" w:hAnsi="Calibri"/>
          <w:i/>
          <w:iCs/>
          <w:sz w:val="22"/>
          <w:szCs w:val="22"/>
        </w:rPr>
        <w:t xml:space="preserve">Module: awareness training service — scoring engine, risk model, adaptive lesson selection.</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What does the training module do?</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It is the human-defence half of SEDAS. It stores persona-based micro-lessons — separate content for students, staff and administrators — with quizzes attached. A user takes a lesson quiz, the module marks it, records the attempt, updates that person's risk score, and returns per-question feedback explaining why each answer was right or wrong. It then recommends the next lesson based on their persona and current risk. It implements FR-05 and FR-06 and operationalises the Theory of Planned Behaviour grounding from our Part A design.</w:t>
      </w:r>
    </w:p>
    <w:p>
      <w:pPr>
        <w:spacing w:after="150" w:line="264"/>
        <w:ind w:left="360"/>
        <w:jc w:val="both"/>
      </w:pPr>
      <w:r>
        <w:rPr>
          <w:rFonts w:ascii="Calibri" w:cs="Calibri" w:eastAsia="Calibri" w:hAnsi="Calibri"/>
          <w:i/>
          <w:iCs/>
          <w:color w:val="555555"/>
          <w:sz w:val="20"/>
          <w:szCs w:val="20"/>
        </w:rPr>
        <w:t xml:space="preserve">If pressed: It runs as its own microservice on port 8003 with its own SQLite database, so it can be developed and deployed independently.</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Walk me through what happens when a user submits a quiz.</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The client posts the username, lesson code and their answers to /submit. The service looks up the user, fetches that lesson's questions including the correct answers — which are never sent to the client — and marks each response. It calls score_attempt to compute the percentage, then update_risk to recalculate the person's risk score, inserts a row into the attempts table, updates the user record, and returns the score, the new risk score and band, and per-question feedback with explanations.</w:t>
      </w:r>
    </w:p>
    <w:p>
      <w:pPr>
        <w:spacing w:after="150" w:line="264"/>
        <w:ind w:left="360"/>
        <w:jc w:val="both"/>
      </w:pPr>
      <w:r>
        <w:rPr>
          <w:rFonts w:ascii="Calibri" w:cs="Calibri" w:eastAsia="Calibri" w:hAnsi="Calibri"/>
          <w:i/>
          <w:iCs/>
          <w:color w:val="555555"/>
          <w:sz w:val="20"/>
          <w:szCs w:val="20"/>
        </w:rPr>
        <w:t xml:space="preserve">If pressed: Marking happens server-side specifically so the client cannot inspect the answers; the quiz endpoint returns prompts and options only.</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Explain your risk scoring. Why an exponentially weighted moving average?</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The risk score runs from 0, meaning low risk, to 100, meaning high risk, and starts at 50 for a new user. After each attempt I compute the new risk as 0.6 times the current risk plus 0.4 times 100 minus the score. So a perfect quiz contributes 0 to the risk term and pulls the score down; a failed quiz contributes 100 and pushes it up. The alpha of 0.4 controls how responsive it is. I chose an EWMA over a simple average because recent behaviour should matter more than something from months ago, but a single bad day should not erase a long good history. The result is clamped to 0 to 100 and rounded.</w:t>
      </w:r>
    </w:p>
    <w:p>
      <w:pPr>
        <w:spacing w:after="150" w:line="264"/>
        <w:ind w:left="360"/>
        <w:jc w:val="both"/>
      </w:pPr>
      <w:r>
        <w:rPr>
          <w:rFonts w:ascii="Calibri" w:cs="Calibri" w:eastAsia="Calibri" w:hAnsi="Calibri"/>
          <w:i/>
          <w:iCs/>
          <w:color w:val="555555"/>
          <w:sz w:val="20"/>
          <w:szCs w:val="20"/>
        </w:rPr>
        <w:t xml:space="preserve">If pressed: If alpha were 1 the score would only reflect the last attempt — volatile and unfair. If it were near 0 the score would barely move and the training would never adapt. 0.4 balances responsiveness with stability.</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Why does a high-risk user get an EASIER lesson? That seems backwards.</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It is deliberate. Risk here is not a punishment score, it drives what training a person sees. Someone who is struggling needs foundational reinforcement — the basics of urgency tactics and link checking — before advanced material on supply-chain compromise. Serving hard content to a struggling learner increases failure and disengagement, which raises their real-world risk rather than lowering it. Conversely a low-risk user is served difficulty 3 to keep the material challenging and worth their time. Adaptive difficulty is the entire point of persona-based training rather than one course for everyone.</w:t>
      </w:r>
    </w:p>
    <w:p>
      <w:pPr>
        <w:spacing w:after="150" w:line="264"/>
        <w:ind w:left="360"/>
        <w:jc w:val="both"/>
      </w:pPr>
      <w:r>
        <w:rPr>
          <w:rFonts w:ascii="Calibri" w:cs="Calibri" w:eastAsia="Calibri" w:hAnsi="Calibri"/>
          <w:i/>
          <w:iCs/>
          <w:color w:val="555555"/>
          <w:sz w:val="20"/>
          <w:szCs w:val="20"/>
        </w:rPr>
        <w:t xml:space="preserve">If pressed: This is the perceived-behavioural-control element of the Theory of Planned Behaviour: people act safely when they believe they can, and success on appropriate material builds that belief.</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How is the next lesson chosen exactly?</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Four steps. First, filter all lessons to those matching the user's persona or marked 'all'. Second, remove any lesson the user has already completed. Third, target a difficulty based on their risk band — 1 for high risk, 2 for medium, 3 for low. Fourth, if no eligible lesson matches that difficulty, fall back to any remaining eligible lesson so the user is never left with nothing. If everything is completed, it returns nothing and the progress endpoint reports no next lesson.</w:t>
      </w:r>
    </w:p>
    <w:p>
      <w:pPr>
        <w:spacing w:after="150" w:line="264"/>
        <w:ind w:left="360"/>
        <w:jc w:val="both"/>
      </w:pPr>
      <w:r>
        <w:rPr>
          <w:rFonts w:ascii="Calibri" w:cs="Calibri" w:eastAsia="Calibri" w:hAnsi="Calibri"/>
          <w:i/>
          <w:iCs/>
          <w:color w:val="555555"/>
          <w:sz w:val="20"/>
          <w:szCs w:val="20"/>
        </w:rPr>
        <w:t xml:space="preserve">If pressed: The fallback matters: without it, a low-risk user who has finished all difficulty-3 content would be told there is nothing to do while easier lessons remain unseen.</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Why keep every attempt rather than just the latest score?</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Three reasons. The history is what the EWMA smooths over, so it has to exist. The governance dashboard needs trends over time, not snapshots — improvement is the thing an institution wants to see. And it is auditable: an append-only record can be verified, whereas an overwritten field cannot. It mirrors the append-only design we use in the URL registry, which is a consistency across the system rather than a coincidence.</w:t>
      </w:r>
    </w:p>
    <w:p>
      <w:pPr>
        <w:spacing w:after="150" w:line="264"/>
        <w:ind w:left="360"/>
        <w:jc w:val="both"/>
      </w:pPr>
      <w:r>
        <w:rPr>
          <w:rFonts w:ascii="Calibri" w:cs="Calibri" w:eastAsia="Calibri" w:hAnsi="Calibri"/>
          <w:i/>
          <w:iCs/>
          <w:color w:val="555555"/>
          <w:sz w:val="20"/>
          <w:szCs w:val="20"/>
        </w:rPr>
        <w:t xml:space="preserve">If pressed: Storage cost is negligible — a few rows per user per lesson.</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How did you test your part?</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Five unit tests, TT-01 to TT-05. TT-01 checks score calculation including the divide-by-zero guard when no questions are answered. TT-02 confirms a perfect score lowers risk, TT-03 that a zero score raises it while staying within bounds. TT-04 checks the band thresholds at low, medium and high. TT-05 confirms lesson selection respects persona and serves difficulty 1 to a high-risk user. They are model-free so they run in the GitHub Actions pipeline on every push, not just on my machine.</w:t>
      </w:r>
    </w:p>
    <w:p>
      <w:pPr>
        <w:spacing w:after="150" w:line="264"/>
        <w:ind w:left="360"/>
        <w:jc w:val="both"/>
      </w:pPr>
      <w:r>
        <w:rPr>
          <w:rFonts w:ascii="Calibri" w:cs="Calibri" w:eastAsia="Calibri" w:hAnsi="Calibri"/>
          <w:i/>
          <w:iCs/>
          <w:color w:val="555555"/>
          <w:sz w:val="20"/>
          <w:szCs w:val="20"/>
        </w:rPr>
        <w:t xml:space="preserve">If pressed: I ran them with pytest tests/ -v and they pass alongside the detection and URL suites.</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How does your module connect to the rest of SEDAS?</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The detection and URL services identify threats technically. Risky behaviour — falling for a simulated phish, or clicking something the URL service flagged — is what should feed a person's risk score. My module then serves them targeted training and tracks whether their understanding improves. The dashboard reports completion rates and risk distribution to the security team. So the loop is: detect, measure the human, train, re-measure.</w:t>
      </w:r>
    </w:p>
    <w:p>
      <w:pPr>
        <w:spacing w:after="150" w:line="264"/>
        <w:ind w:left="360"/>
        <w:jc w:val="both"/>
      </w:pPr>
      <w:r>
        <w:rPr>
          <w:rFonts w:ascii="Calibri" w:cs="Calibri" w:eastAsia="Calibri" w:hAnsi="Calibri"/>
          <w:i/>
          <w:iCs/>
          <w:color w:val="555555"/>
          <w:sz w:val="20"/>
          <w:szCs w:val="20"/>
        </w:rPr>
        <w:t xml:space="preserve">If pressed: In the current MVP the risk score is driven by quiz performance; wiring live detection events into it is documented as the next iteration.</w:t>
      </w:r>
    </w:p>
    <w:p>
      <w:r>
        <w:br w:type="page"/>
      </w:r>
    </w:p>
    <w:p>
      <w:pPr>
        <w:pStyle w:val="Heading1"/>
        <w:spacing w:after="160" w:before="360"/>
      </w:pPr>
      <w:r>
        <w:rPr>
          <w:rFonts w:ascii="Calibri" w:cs="Calibri" w:eastAsia="Calibri" w:hAnsi="Calibri"/>
          <w:b/>
          <w:bCs/>
          <w:color w:val="1F4E5F"/>
          <w:sz w:val="30"/>
          <w:szCs w:val="30"/>
        </w:rPr>
        <w:t xml:space="preserve">Part 5 — Sonu (250001)</w:t>
      </w:r>
    </w:p>
    <w:p>
      <w:pPr>
        <w:spacing w:after="130" w:line="276"/>
        <w:jc w:val="both"/>
      </w:pPr>
      <w:r>
        <w:rPr>
          <w:rFonts w:ascii="Calibri" w:cs="Calibri" w:eastAsia="Calibri" w:hAnsi="Calibri"/>
          <w:i/>
          <w:iCs/>
          <w:sz w:val="22"/>
          <w:szCs w:val="22"/>
        </w:rPr>
        <w:t xml:space="preserve">Ownership: awareness content library, project records (log, minutes, evidence), presentation coordination.</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What is your contribution to SEDAS?</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I own the awareness content — the micro-lessons and quiz questions the training module delivers — and the project records: the project log, meeting minutes and evidence collection. The content is the intervention itself: the module is the delivery mechanism, but what actually changes behaviour is what the lessons say and how the questions make people think. I also coordinate our presentations.</w:t>
      </w:r>
    </w:p>
    <w:p>
      <w:pPr>
        <w:spacing w:after="150" w:line="264"/>
        <w:ind w:left="360"/>
        <w:jc w:val="both"/>
      </w:pPr>
      <w:r>
        <w:rPr>
          <w:rFonts w:ascii="Calibri" w:cs="Calibri" w:eastAsia="Calibri" w:hAnsi="Calibri"/>
          <w:i/>
          <w:iCs/>
          <w:color w:val="555555"/>
          <w:sz w:val="20"/>
          <w:szCs w:val="20"/>
        </w:rPr>
        <w:t xml:space="preserve">If pressed: Content is FR-05 in the requirements register — it is a functional requirement, not supporting material.</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How did you decide what topics to cover?</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I mapped them to the attack vectors identified in our Part A literature review. The general lessons cover manufactured urgency and link deception, because those are the levers behind most phishing. Staff lessons cover credential harvesting, MFA fatigue, and spear-phishing requests for student or research data, since staff hold access attackers want. Administrator lessons cover privileged account targeting and escalation. I also added newer vectors the recent literature highlights — QR code lures and AI-generated deepfake messages — because content trained on 2019 attack patterns leaves people exposed to 2026 ones.</w:t>
      </w:r>
    </w:p>
    <w:p>
      <w:pPr>
        <w:spacing w:after="150" w:line="264"/>
        <w:ind w:left="360"/>
        <w:jc w:val="both"/>
      </w:pPr>
      <w:r>
        <w:rPr>
          <w:rFonts w:ascii="Calibri" w:cs="Calibri" w:eastAsia="Calibri" w:hAnsi="Calibri"/>
          <w:i/>
          <w:iCs/>
          <w:color w:val="555555"/>
          <w:sz w:val="20"/>
          <w:szCs w:val="20"/>
        </w:rPr>
        <w:t xml:space="preserve">If pressed: Each lesson is tagged with a persona and a difficulty so the module can select adaptively.</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Why is every question accompanied by an explanation?</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Because a quiz without feedback measures knowledge but does not create it. The explanation appears immediately after answering, so the learner sees why the correct answer was correct while the question is still in their head. That immediate feedback loop is the behaviour-change mechanism — it is the reason this is training rather than testing.</w:t>
      </w:r>
    </w:p>
    <w:p>
      <w:pPr>
        <w:spacing w:after="150" w:line="264"/>
        <w:ind w:left="360"/>
        <w:jc w:val="both"/>
      </w:pPr>
      <w:r>
        <w:rPr>
          <w:rFonts w:ascii="Calibri" w:cs="Calibri" w:eastAsia="Calibri" w:hAnsi="Calibri"/>
          <w:i/>
          <w:iCs/>
          <w:color w:val="555555"/>
          <w:sz w:val="20"/>
          <w:szCs w:val="20"/>
        </w:rPr>
        <w:t xml:space="preserve">If pressed: It also addresses the attitude component of the Theory of Planned Behaviour: understanding why an attack works changes how seriously someone treats it.</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How do you write a good question?</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The wrong options have to be plausible. If three answers are obviously silly, the question tests reading, not judgement — so each distractor is a mistake a real person under time pressure would actually make, like 'reply to the email to check if it is genuine', which sounds sensible but leaves the attacker in control of the channel. I also write questions about what you would DO next rather than about definitions, because behaviour is what we are trying to change, not vocabulary.</w:t>
      </w:r>
    </w:p>
    <w:p>
      <w:pPr>
        <w:spacing w:after="150" w:line="264"/>
        <w:ind w:left="360"/>
        <w:jc w:val="both"/>
      </w:pPr>
      <w:r>
        <w:rPr>
          <w:rFonts w:ascii="Calibri" w:cs="Calibri" w:eastAsia="Calibri" w:hAnsi="Calibri"/>
          <w:i/>
          <w:iCs/>
          <w:color w:val="555555"/>
          <w:sz w:val="20"/>
          <w:szCs w:val="20"/>
        </w:rPr>
        <w:t xml:space="preserve">If pressed: Each lesson has three to four questions, and the body stays between about 60 and 120 words so it remains a micro-lesson.</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Is there an ethical dimension to awareness content?</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Yes, two. First, no blame framing: if content shames people who click, they hide mistakes instead of reporting them, and delayed reporting is what turns an incident into a breach. So the reporting lesson explicitly says that clicking happens and speed of reporting is what matters. Second, fear alone does not work — every lesson gives a concrete action the person controls, because telling someone they are in danger without telling them what to do produces anxiety, not safety.</w:t>
      </w:r>
    </w:p>
    <w:p>
      <w:pPr>
        <w:spacing w:after="150" w:line="264"/>
        <w:ind w:left="360"/>
        <w:jc w:val="both"/>
      </w:pPr>
      <w:r>
        <w:rPr>
          <w:rFonts w:ascii="Calibri" w:cs="Calibri" w:eastAsia="Calibri" w:hAnsi="Calibri"/>
          <w:i/>
          <w:iCs/>
          <w:color w:val="555555"/>
          <w:sz w:val="20"/>
          <w:szCs w:val="20"/>
        </w:rPr>
        <w:t xml:space="preserve">If pressed: This connects to the psychological-safety commitments recorded in our Part A ethics section.</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How does the content connect to the risk score?</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Poor quiz performance raises a user's risk score, and the module then serves easier, foundational lessons to rebuild the basics. Good performance lowers it and unlocks more advanced material. So the content library needs coverage at every difficulty level and for every persona, otherwise the adaptive selection has nothing to select from — that is why I am extending it to roughly ten to twelve lessons across the three personas.</w:t>
      </w:r>
    </w:p>
    <w:p>
      <w:pPr>
        <w:spacing w:after="150" w:line="264"/>
        <w:ind w:left="360"/>
        <w:jc w:val="both"/>
      </w:pPr>
      <w:r>
        <w:rPr>
          <w:rFonts w:ascii="Calibri" w:cs="Calibri" w:eastAsia="Calibri" w:hAnsi="Calibri"/>
          <w:i/>
          <w:iCs/>
          <w:color w:val="555555"/>
          <w:sz w:val="20"/>
          <w:szCs w:val="20"/>
        </w:rPr>
        <w:t xml:space="preserve">If pressed: The difficulty tagging I apply is what makes Dominic's selection logic work.</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How do you maintain the project log and minutes?</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Minutes are written during the meeting and committed to docs/minutes in the repository the same day — not reconstructed later, because reconstructed minutes are unreliable and it shows. The project log gets weekly entries covering what each member did, problems hit and how they were resolved, ethics and security notes, and disclosure of any tools or AI assistance used. Evidence screenshots go into docs/evidence as features land, because evidence collected late is usually evidence lost.</w:t>
      </w:r>
    </w:p>
    <w:p>
      <w:pPr>
        <w:spacing w:after="150" w:line="264"/>
        <w:ind w:left="360"/>
        <w:jc w:val="both"/>
      </w:pPr>
      <w:r>
        <w:rPr>
          <w:rFonts w:ascii="Calibri" w:cs="Calibri" w:eastAsia="Calibri" w:hAnsi="Calibri"/>
          <w:i/>
          <w:iCs/>
          <w:color w:val="555555"/>
          <w:sz w:val="20"/>
          <w:szCs w:val="20"/>
        </w:rPr>
        <w:t xml:space="preserve">If pressed: The supervisor requires two sets of minutes with the Week 3 submission and may spot-check them at any time, so they are kept current rather than assembled at deadlines.</w:t>
      </w:r>
    </w:p>
    <w:p>
      <w:r>
        <w:br w:type="page"/>
      </w:r>
    </w:p>
    <w:p>
      <w:pPr>
        <w:pStyle w:val="Heading1"/>
        <w:spacing w:after="160" w:before="360"/>
      </w:pPr>
      <w:r>
        <w:rPr>
          <w:rFonts w:ascii="Calibri" w:cs="Calibri" w:eastAsia="Calibri" w:hAnsi="Calibri"/>
          <w:b/>
          <w:bCs/>
          <w:color w:val="1F4E5F"/>
          <w:sz w:val="30"/>
          <w:szCs w:val="30"/>
        </w:rPr>
        <w:t xml:space="preserve">Part 6 — Huzaifa Iqbal (240220)</w:t>
      </w:r>
    </w:p>
    <w:p>
      <w:pPr>
        <w:spacing w:after="130" w:line="276"/>
        <w:jc w:val="both"/>
      </w:pPr>
      <w:r>
        <w:rPr>
          <w:rFonts w:ascii="Calibri" w:cs="Calibri" w:eastAsia="Calibri" w:hAnsi="Calibri"/>
          <w:i/>
          <w:iCs/>
          <w:sz w:val="22"/>
          <w:szCs w:val="22"/>
        </w:rPr>
        <w:t xml:space="preserve">Ownership: security assessment, test framework and CI, user documentation.</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How secure is SEDAS itself?</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We assessed it against the OWASP Top 10 and documented the findings. What is in place: parameterised database queries throughout, so injection is mitigated; server-side validation that rejects malformed input with a clear error rather than failing; hash-chain integrity on the URL registry; and no secrets in the repository — configuration uses environment variables with a committed example file. What is open: there is no authentication or role-based access control yet, which is our highest-severity finding, and CORS was set permissively for the local demonstration. Both are recorded with proposed fixes rather than left silent.</w:t>
      </w:r>
    </w:p>
    <w:p>
      <w:pPr>
        <w:spacing w:after="150" w:line="264"/>
        <w:ind w:left="360"/>
        <w:jc w:val="both"/>
      </w:pPr>
      <w:r>
        <w:rPr>
          <w:rFonts w:ascii="Calibri" w:cs="Calibri" w:eastAsia="Calibri" w:hAnsi="Calibri"/>
          <w:i/>
          <w:iCs/>
          <w:color w:val="555555"/>
          <w:sz w:val="20"/>
          <w:szCs w:val="20"/>
        </w:rPr>
        <w:t xml:space="preserve">If pressed: A security tool with unexamined security would be indefensible — that is exactly why we ran the assessment on ourselves.</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You allowed all origins in CORS. Is that not a vulnerability?</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Yes, and it was a deliberate trade-off for a local demonstration where the frontend is opened as a file rather than served from a domain. It is recorded as an OWASP A05 misconfiguration finding, and the fix is to restrict allowed origins to the known frontend host before any deployment. I would rather show the finding and the fix than quietly leave it — that is the assessment process working as intended.</w:t>
      </w:r>
    </w:p>
    <w:p>
      <w:pPr>
        <w:spacing w:after="150" w:line="264"/>
        <w:ind w:left="360"/>
        <w:jc w:val="both"/>
      </w:pPr>
      <w:r>
        <w:rPr>
          <w:rFonts w:ascii="Calibri" w:cs="Calibri" w:eastAsia="Calibri" w:hAnsi="Calibri"/>
          <w:i/>
          <w:iCs/>
          <w:color w:val="555555"/>
          <w:sz w:val="20"/>
          <w:szCs w:val="20"/>
        </w:rPr>
        <w:t xml:space="preserve">If pressed: In production the services would sit behind the institution's gateway, so origin restriction plus authentication would both apply.</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How do you prevent SQL injection?</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Every database call uses parameterised queries — values are passed as parameters with placeholders rather than concatenated into the SQL string, so input can never be interpreted as code. I verified it rather than assuming: one of my tests submits a URL containing SQL metacharacters, confirms it is stored as literal text, and confirms the registry chain still validates afterwards.</w:t>
      </w:r>
    </w:p>
    <w:p>
      <w:pPr>
        <w:spacing w:after="150" w:line="264"/>
        <w:ind w:left="360"/>
        <w:jc w:val="both"/>
      </w:pPr>
      <w:r>
        <w:rPr>
          <w:rFonts w:ascii="Calibri" w:cs="Calibri" w:eastAsia="Calibri" w:hAnsi="Calibri"/>
          <w:i/>
          <w:iCs/>
          <w:color w:val="555555"/>
          <w:sz w:val="20"/>
          <w:szCs w:val="20"/>
        </w:rPr>
        <w:t xml:space="preserve">If pressed: That test is TS-01 in our test matrix, and it runs in CI on every push.</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What is the biggest security weakness in the current system?</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The absence of authentication and role-based access control. FR-08 requires it, but the MVP does not have it, which means anyone who can reach the API can classify emails, report URLs into the registry, or submit quiz attempts. Two concrete abuse cases follow: mass false reports could poison the URL registry, and unauthenticated submissions could manipulate someone's risk score. In production the Part A design relies on institutional single sign-on. It is recorded as an open high-severity finding with a proposed design rather than hidden.</w:t>
      </w:r>
    </w:p>
    <w:p>
      <w:pPr>
        <w:spacing w:after="150" w:line="264"/>
        <w:ind w:left="360"/>
        <w:jc w:val="both"/>
      </w:pPr>
      <w:r>
        <w:rPr>
          <w:rFonts w:ascii="Calibri" w:cs="Calibri" w:eastAsia="Calibri" w:hAnsi="Calibri"/>
          <w:i/>
          <w:iCs/>
          <w:color w:val="555555"/>
          <w:sz w:val="20"/>
          <w:szCs w:val="20"/>
        </w:rPr>
        <w:t xml:space="preserve">If pressed: Rate limiting on the report endpoint would be the cheapest partial mitigation and is on the backlog.</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Describe your testing strategy.</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Layered. Unit and API-level tests per module, each with an ID traced to a requirement — TD for detection, TU for URL verification, TT for training, TS for security and negative cases. They run through pytest locally and through GitHub Actions on every push and pull request, so a broken change is caught before merge. Importantly we test failure paths as well as success: malformed JSON must return a clear 422, an unknown user must return 404 rather than a server error, and the quiz endpoint must never leak correct answers.</w:t>
      </w:r>
    </w:p>
    <w:p>
      <w:pPr>
        <w:spacing w:after="150" w:line="264"/>
        <w:ind w:left="360"/>
        <w:jc w:val="both"/>
      </w:pPr>
      <w:r>
        <w:rPr>
          <w:rFonts w:ascii="Calibri" w:cs="Calibri" w:eastAsia="Calibri" w:hAnsi="Calibri"/>
          <w:i/>
          <w:iCs/>
          <w:color w:val="555555"/>
          <w:sz w:val="20"/>
          <w:szCs w:val="20"/>
        </w:rPr>
        <w:t xml:space="preserve">If pressed: Negative testing is where real defects hide — happy-path-only suites give false confidence.</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Why do some tests skip on other machines?</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The trained model file and the 82,000-email dataset are deliberately excluded from the repository — binaries and large data do not belong in version control, and the model can be regenerated by running the training script. So tests that need the model skip cleanly when it is absent, with a message saying why, rather than failing and making the pipeline look broken. The model-free tests still run everywhere, including in CI, so the pipeline exercises real assertions.</w:t>
      </w:r>
    </w:p>
    <w:p>
      <w:pPr>
        <w:spacing w:after="150" w:line="264"/>
        <w:ind w:left="360"/>
        <w:jc w:val="both"/>
      </w:pPr>
      <w:r>
        <w:rPr>
          <w:rFonts w:ascii="Calibri" w:cs="Calibri" w:eastAsia="Calibri" w:hAnsi="Calibri"/>
          <w:i/>
          <w:iCs/>
          <w:color w:val="555555"/>
          <w:sz w:val="20"/>
          <w:szCs w:val="20"/>
        </w:rPr>
        <w:t xml:space="preserve">If pressed: It is a conscious design decision, recorded in the project log, not an accident.</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Who is the user documentation written for, and how do you know it works?</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For a non-technical reader — the unit explicitly assesses communication to both specialists and non-specialists, and a security tool nobody can install is a security tool nobody uses. There are three guides: installation, user, and administrator, with screenshots taken from the running system. The way to validate it is to have someone outside the team follow the installation guide on a clean machine without asking questions; wherever they get stuck is a defect in the documentation, not in them.</w:t>
      </w:r>
    </w:p>
    <w:p>
      <w:pPr>
        <w:spacing w:after="150" w:line="264"/>
        <w:ind w:left="360"/>
        <w:jc w:val="both"/>
      </w:pPr>
      <w:r>
        <w:rPr>
          <w:rFonts w:ascii="Calibri" w:cs="Calibri" w:eastAsia="Calibri" w:hAnsi="Calibri"/>
          <w:i/>
          <w:iCs/>
          <w:color w:val="555555"/>
          <w:sz w:val="20"/>
          <w:szCs w:val="20"/>
        </w:rPr>
        <w:t xml:space="preserve">If pressed: Common failure points we document explicitly: the Python PATH checkbox on Windows, PowerShell script execution policy, and starting each service on its correct port.</w:t>
      </w:r>
    </w:p>
    <w:p>
      <w:pPr>
        <w:spacing w:after="60" w:before="200"/>
      </w:pPr>
      <w:r>
        <w:rPr>
          <w:rFonts w:ascii="Calibri" w:cs="Calibri" w:eastAsia="Calibri" w:hAnsi="Calibri"/>
          <w:b/>
          <w:bCs/>
          <w:color w:val="8C4A00"/>
          <w:sz w:val="22"/>
          <w:szCs w:val="22"/>
        </w:rPr>
        <w:t xml:space="preserve">Q. </w:t>
      </w:r>
      <w:r>
        <w:rPr>
          <w:rFonts w:ascii="Calibri" w:cs="Calibri" w:eastAsia="Calibri" w:hAnsi="Calibri"/>
          <w:b/>
          <w:bCs/>
          <w:sz w:val="22"/>
          <w:szCs w:val="22"/>
        </w:rPr>
        <w:t xml:space="preserve">Explain how the tamper-evident registry works — you did not build it, but can you explain it?</w:t>
      </w:r>
    </w:p>
    <w:p>
      <w:pPr>
        <w:spacing w:after="60" w:line="276"/>
        <w:jc w:val="both"/>
      </w:pPr>
      <w:r>
        <w:rPr>
          <w:rFonts w:ascii="Calibri" w:cs="Calibri" w:eastAsia="Calibri" w:hAnsi="Calibri"/>
          <w:b/>
          <w:bCs/>
          <w:color w:val="1F4E5F"/>
          <w:sz w:val="22"/>
          <w:szCs w:val="22"/>
        </w:rPr>
        <w:t xml:space="preserve">A. </w:t>
      </w:r>
      <w:r>
        <w:rPr>
          <w:rFonts w:ascii="Calibri" w:cs="Calibri" w:eastAsia="Calibri" w:hAnsi="Calibri"/>
          <w:sz w:val="22"/>
          <w:szCs w:val="22"/>
        </w:rPr>
        <w:t xml:space="preserve">Each entry in the registry stores the hash of the previous entry, and its own hash is computed over its own content plus that previous hash. So the entries form a chain where every record depends on all the ones before it. If someone edits a row directly in the database, the recomputed hash for that row no longer matches what is stored, and every subsequent link breaks too. The chain-validate endpoint walks the whole chain recomputing hashes and reports whether it is intact and where it first broke. It gives tamper-evidence, though not decentralisation — a single administrator could rebuild the whole chain, which is what a distributed ledger would prevent.</w:t>
      </w:r>
    </w:p>
    <w:p>
      <w:pPr>
        <w:spacing w:after="150" w:line="264"/>
        <w:ind w:left="360"/>
        <w:jc w:val="both"/>
      </w:pPr>
      <w:r>
        <w:rPr>
          <w:rFonts w:ascii="Calibri" w:cs="Calibri" w:eastAsia="Calibri" w:hAnsi="Calibri"/>
          <w:i/>
          <w:iCs/>
          <w:color w:val="555555"/>
          <w:sz w:val="20"/>
          <w:szCs w:val="20"/>
        </w:rPr>
        <w:t xml:space="preserve">If pressed: Cross-module knowledge is expected of every team member — we run teach-back sessions specifically for this.</w:t>
      </w:r>
    </w:p>
    <w:p>
      <w:r>
        <w:br w:type="page"/>
      </w:r>
    </w:p>
    <w:p>
      <w:pPr>
        <w:pStyle w:val="Heading1"/>
        <w:spacing w:after="160" w:before="360"/>
      </w:pPr>
      <w:r>
        <w:rPr>
          <w:rFonts w:ascii="Calibri" w:cs="Calibri" w:eastAsia="Calibri" w:hAnsi="Calibri"/>
          <w:b/>
          <w:bCs/>
          <w:color w:val="1F4E5F"/>
          <w:sz w:val="30"/>
          <w:szCs w:val="30"/>
        </w:rPr>
        <w:t xml:space="preserve">Part 7 — How to handle the session</w:t>
      </w:r>
    </w:p>
    <w:p>
      <w:pPr>
        <w:pStyle w:val="ListParagraph"/>
        <w:numPr>
          <w:ilvl w:val="0"/>
          <w:numId w:val="2"/>
        </w:numPr>
        <w:spacing w:after="80" w:line="270"/>
      </w:pPr>
      <w:r>
        <w:rPr>
          <w:rFonts w:ascii="Calibri" w:cs="Calibri" w:eastAsia="Calibri" w:hAnsi="Calibri"/>
          <w:b/>
          <w:bCs/>
          <w:sz w:val="22"/>
          <w:szCs w:val="22"/>
        </w:rPr>
        <w:t xml:space="preserve">Do not bluff.</w:t>
      </w:r>
      <w:r>
        <w:rPr>
          <w:rFonts w:ascii="Calibri" w:cs="Calibri" w:eastAsia="Calibri" w:hAnsi="Calibri"/>
          <w:sz w:val="22"/>
          <w:szCs w:val="22"/>
        </w:rPr>
        <w:t xml:space="preserve"> If you do not know an answer, say so and say what you would do to find out. 'I did not build that part, but my understanding is…' is acceptable. Inventing an answer is not — examiners follow up, and a fabricated answer collapses under one more question.</w:t>
      </w:r>
    </w:p>
    <w:p>
      <w:pPr>
        <w:pStyle w:val="ListParagraph"/>
        <w:numPr>
          <w:ilvl w:val="0"/>
          <w:numId w:val="2"/>
        </w:numPr>
        <w:spacing w:after="80" w:line="270"/>
      </w:pPr>
      <w:r>
        <w:rPr>
          <w:rFonts w:ascii="Calibri" w:cs="Calibri" w:eastAsia="Calibri" w:hAnsi="Calibri"/>
          <w:b/>
          <w:bCs/>
          <w:sz w:val="22"/>
          <w:szCs w:val="22"/>
        </w:rPr>
        <w:t xml:space="preserve">Answer with reasons, not just descriptions.</w:t>
      </w:r>
      <w:r>
        <w:rPr>
          <w:rFonts w:ascii="Calibri" w:cs="Calibri" w:eastAsia="Calibri" w:hAnsi="Calibri"/>
          <w:sz w:val="22"/>
          <w:szCs w:val="22"/>
        </w:rPr>
        <w:t xml:space="preserve"> Every design choice in this project has a reason. When asked 'why', give the reason and the alternative you rejected. 'We chose X because Y, and we considered Z but it would have cost W' is the shape of a distinction-level answer.</w:t>
      </w:r>
    </w:p>
    <w:p>
      <w:pPr>
        <w:pStyle w:val="ListParagraph"/>
        <w:numPr>
          <w:ilvl w:val="0"/>
          <w:numId w:val="2"/>
        </w:numPr>
        <w:spacing w:after="80" w:line="270"/>
      </w:pPr>
      <w:r>
        <w:rPr>
          <w:rFonts w:ascii="Calibri" w:cs="Calibri" w:eastAsia="Calibri" w:hAnsi="Calibri"/>
          <w:b/>
          <w:bCs/>
          <w:sz w:val="22"/>
          <w:szCs w:val="22"/>
        </w:rPr>
        <w:t xml:space="preserve">Own the weaknesses.</w:t>
      </w:r>
      <w:r>
        <w:rPr>
          <w:rFonts w:ascii="Calibri" w:cs="Calibri" w:eastAsia="Calibri" w:hAnsi="Calibri"/>
          <w:sz w:val="22"/>
          <w:szCs w:val="22"/>
        </w:rPr>
        <w:t xml:space="preserve"> Limitations, open findings and things that did not work are credit, not damage — provided you can say what you would do about them. Overclaiming is the risk, not honesty.</w:t>
      </w:r>
    </w:p>
    <w:p>
      <w:pPr>
        <w:pStyle w:val="ListParagraph"/>
        <w:numPr>
          <w:ilvl w:val="0"/>
          <w:numId w:val="2"/>
        </w:numPr>
        <w:spacing w:after="80" w:line="270"/>
      </w:pPr>
      <w:r>
        <w:rPr>
          <w:rFonts w:ascii="Calibri" w:cs="Calibri" w:eastAsia="Calibri" w:hAnsi="Calibri"/>
          <w:b/>
          <w:bCs/>
          <w:sz w:val="22"/>
          <w:szCs w:val="22"/>
        </w:rPr>
        <w:t xml:space="preserve">Have the evidence to hand.</w:t>
      </w:r>
      <w:r>
        <w:rPr>
          <w:rFonts w:ascii="Calibri" w:cs="Calibri" w:eastAsia="Calibri" w:hAnsi="Calibri"/>
          <w:sz w:val="22"/>
          <w:szCs w:val="22"/>
        </w:rPr>
        <w:t xml:space="preserve"> Keep the repository, the project log, the benchmark justification and the demo open on your laptop. If you can show it, show it.</w:t>
      </w:r>
    </w:p>
    <w:p>
      <w:pPr>
        <w:pStyle w:val="ListParagraph"/>
        <w:numPr>
          <w:ilvl w:val="0"/>
          <w:numId w:val="2"/>
        </w:numPr>
        <w:spacing w:after="80" w:line="270"/>
      </w:pPr>
      <w:r>
        <w:rPr>
          <w:rFonts w:ascii="Calibri" w:cs="Calibri" w:eastAsia="Calibri" w:hAnsi="Calibri"/>
          <w:b/>
          <w:bCs/>
          <w:sz w:val="22"/>
          <w:szCs w:val="22"/>
        </w:rPr>
        <w:t xml:space="preserve">Practise out loud.</w:t>
      </w:r>
      <w:r>
        <w:rPr>
          <w:rFonts w:ascii="Calibri" w:cs="Calibri" w:eastAsia="Calibri" w:hAnsi="Calibri"/>
          <w:sz w:val="22"/>
          <w:szCs w:val="22"/>
        </w:rPr>
        <w:t xml:space="preserve"> Run at least two internal mock sessions where each member answers questions about their own module and one other person's. Twenty minutes each, twice, is enough to remove almost all the risk from this assessment.</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2026-07-20T12:43:44.552Z</dcterms:created>
  <dcterms:modified xsi:type="dcterms:W3CDTF">2026-07-20T12:43:44.564Z</dcterms:modified>
</cp:coreProperties>
</file>

<file path=docProps/custom.xml><?xml version="1.0" encoding="utf-8"?>
<Properties xmlns="http://schemas.openxmlformats.org/officeDocument/2006/custom-properties" xmlns:vt="http://schemas.openxmlformats.org/officeDocument/2006/docPropsVTypes"/>
</file>