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Capstone Project — Part B Project Log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Name(s):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Ashraful Islam; Huzaifa Iqbal; Sonu; Dominic Kipchirchir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ID(s):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240135; 240220; 250001; 240401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Title: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SEDAS — Social Engineering Defence and Awareness System (implementation of the Part A design by Ashraful Islam, MIS5203)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Supervisor: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Dr Chandana Withana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2 and 3 (combined submission)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 Repository URL: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https://github.com/ailinkon/MIS5320-SEDAS-CyberProjectB (private; supervisor holds collaborator access)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Summary of Work Completed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Weeks 2 and 3 covered the Unified Process Construction phase: benchmark establishment, two further services implemented, the system integrated end to end behind a working interface, and module ownership distributed across the team.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1.1 Benchmark establishment (supervisor priority)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paper identified.</w:t>
      </w:r>
      <w:r>
        <w:rPr>
          <w:rFonts w:ascii="Calibri" w:cs="Calibri" w:eastAsia="Calibri" w:hAnsi="Calibri"/>
          <w:sz w:val="22"/>
          <w:szCs w:val="22"/>
        </w:rPr>
        <w:t xml:space="preserve"> Traced our dataset to its source publication and adopted it as the project benchmark: Al-Subaiey, A., Al-Thani, M., Alam, N. A., Antora, K. F., Khandakar, A., &amp; Zaman, S. M. A. U. (2024), 'Novel interpretable and robust web-based AI platform for phishing email detection', Computers and Electrical Engineering, 120, 109625 — numbered [41], continuing the Part A reference register [1]–[40].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Exact dataset match confirmed.</w:t>
      </w:r>
      <w:r>
        <w:rPr>
          <w:rFonts w:ascii="Calibri" w:cs="Calibri" w:eastAsia="Calibri" w:hAnsi="Calibri"/>
          <w:sz w:val="22"/>
          <w:szCs w:val="22"/>
        </w:rPr>
        <w:t xml:space="preserve"> The paper's integrated corpus (42,891 phishing / 39,595 legitimate, ≈82,500 emails) matches our loaded dataset exactly (42,891 / 39,595; 82,486 usable rows after null removal). Same six public sources: Enron, Ling-Spam, CEAS 2008, Nazario, Nigerian Fraud, SpamAssassin. Same merged 'text_combined' field.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Replication executed.</w:t>
      </w:r>
      <w:r>
        <w:rPr>
          <w:rFonts w:ascii="Calibri" w:cs="Calibri" w:eastAsia="Calibri" w:hAnsi="Calibri"/>
          <w:sz w:val="22"/>
          <w:szCs w:val="22"/>
        </w:rPr>
        <w:t xml:space="preserve"> Implemented services/detection/compare_models.py and executed the paper's TF-IDF + SVM pipeline on the identical corpus and split. Result: F1 0.9916 (accuracy 0.9912, precision 0.9913, recall 0.9918, FP rate 0.0095) against the published 0.99 — the replication matches the benchmark, validating our pipeline.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Documented.</w:t>
      </w:r>
      <w:r>
        <w:rPr>
          <w:rFonts w:ascii="Calibri" w:cs="Calibri" w:eastAsia="Calibri" w:hAnsi="Calibri"/>
          <w:sz w:val="22"/>
          <w:szCs w:val="22"/>
        </w:rPr>
        <w:t xml:space="preserve"> A standalone Dataset and Benchmark Justification document was prepared for the supervisor consultation, mapping the evaluation parameters to Part A references [3], [7] and [8] and the dataset to [41], with the execution evidence embedded.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1.2 URL Verification Service (FR-03, FR-04; refinement R-01)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layer.</w:t>
      </w:r>
      <w:r>
        <w:rPr>
          <w:rFonts w:ascii="Calibri" w:cs="Calibri" w:eastAsia="Calibri" w:hAnsi="Calibri"/>
          <w:sz w:val="22"/>
          <w:szCs w:val="22"/>
        </w:rPr>
        <w:t xml:space="preserve"> Heuristic URL risk analysis: absence of HTTPS, raw IP address, '@' obfuscation, multiple hyphens, excessive subdomain depth, high-risk TLDs, known shorteners, abnormal length, and credential-lure keywords — each returning a plain-English finding with a weighted risk score.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Tamper-evident registry.</w:t>
      </w:r>
      <w:r>
        <w:rPr>
          <w:rFonts w:ascii="Calibri" w:cs="Calibri" w:eastAsia="Calibri" w:hAnsi="Calibri"/>
          <w:sz w:val="22"/>
          <w:szCs w:val="22"/>
        </w:rPr>
        <w:t xml:space="preserve"> SHA-256 hash-chained, append-only SQLite registry: each entry hashes its own content plus the previous entry's hash, so any modification breaks the chain. Endpoints: POST /verify, POST /report, GET /chain/validate, GET /health on port 8002.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rationale.</w:t>
      </w:r>
      <w:r>
        <w:rPr>
          <w:rFonts w:ascii="Calibri" w:cs="Calibri" w:eastAsia="Calibri" w:hAnsi="Calibri"/>
          <w:sz w:val="22"/>
          <w:szCs w:val="22"/>
        </w:rPr>
        <w:t xml:space="preserve"> This delivers the tamper-evidence intent of the Part A blockchain layer without Ethereum gas fees, wallet infrastructure or block latency, per refinement R-01. Limitation recorded: the proof of concept provides tamper-evidence, not decentralised consensus.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1.3 Frontend integration (FR-07 groundwork)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 demo page.</w:t>
      </w:r>
      <w:r>
        <w:rPr>
          <w:rFonts w:ascii="Calibri" w:cs="Calibri" w:eastAsia="Calibri" w:hAnsi="Calibri"/>
          <w:sz w:val="22"/>
          <w:szCs w:val="22"/>
        </w:rPr>
        <w:t xml:space="preserve"> frontend/demo.html — a single-file interface calling both services: verdict badges, risk scores out of 100, explainability/finding chips, registry proof display and latency readout. CORS middleware added to both services (permissive for local demonstration; restriction recorded as a security finding).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End-to-end integration verified.</w:t>
      </w:r>
      <w:r>
        <w:rPr>
          <w:rFonts w:ascii="Calibri" w:cs="Calibri" w:eastAsia="Calibri" w:hAnsi="Calibri"/>
          <w:sz w:val="22"/>
          <w:szCs w:val="22"/>
        </w:rPr>
        <w:t xml:space="preserve"> Browser → detection service (port 8001) and URL service (port 8002) → responses rendered, in single-digit to low-double-digit milliseconds.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1.4 Awareness Training Module scaffold (FR-05, FR-06)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schema.</w:t>
      </w:r>
      <w:r>
        <w:rPr>
          <w:rFonts w:ascii="Calibri" w:cs="Calibri" w:eastAsia="Calibri" w:hAnsi="Calibri"/>
          <w:sz w:val="22"/>
          <w:szCs w:val="22"/>
        </w:rPr>
        <w:t xml:space="preserve"> Four tables — users (persona, risk score), lessons (persona, difficulty, body), questions (four options, correct answer, explanation), attempts (append-only history).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endpoints.</w:t>
      </w:r>
      <w:r>
        <w:rPr>
          <w:rFonts w:ascii="Calibri" w:cs="Calibri" w:eastAsia="Calibri" w:hAnsi="Calibri"/>
          <w:sz w:val="22"/>
          <w:szCs w:val="22"/>
        </w:rPr>
        <w:t xml:space="preserve"> POST /users, GET /lessons, GET /lessons/{code}/quiz (answers withheld from the client), POST /submit, GET /progress/{username}, GET /health on port 8003.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 seeded.</w:t>
      </w:r>
      <w:r>
        <w:rPr>
          <w:rFonts w:ascii="Calibri" w:cs="Calibri" w:eastAsia="Calibri" w:hAnsi="Calibri"/>
          <w:sz w:val="22"/>
          <w:szCs w:val="22"/>
        </w:rPr>
        <w:t xml:space="preserve"> Five starter micro-lessons and seven quiz questions seeded, mapped to attack vectors from the Part A review and grounded in the Theory of Planned Behaviour.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Ownership.</w:t>
      </w:r>
      <w:r>
        <w:rPr>
          <w:rFonts w:ascii="Calibri" w:cs="Calibri" w:eastAsia="Calibri" w:hAnsi="Calibri"/>
          <w:sz w:val="22"/>
          <w:szCs w:val="22"/>
        </w:rPr>
        <w:t xml:space="preserve"> The scoring engine (attempt scoring, EWMA risk update, risk banding, adaptive lesson selection) is specified and stubbed for its module owner, with a written technical brief and test specification.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1.5 Team distribution and preparation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RACI finalised.</w:t>
      </w:r>
      <w:r>
        <w:rPr>
          <w:rFonts w:ascii="Calibri" w:cs="Calibri" w:eastAsia="Calibri" w:hAnsi="Calibri"/>
          <w:sz w:val="22"/>
          <w:szCs w:val="22"/>
        </w:rPr>
        <w:t xml:space="preserve"> Module ownership formalised in the project plan RACI across thirteen activities with a single accountable owner each: detection/URL/frontend (Ashraful), training scoring engine (Dominic), awareness content and project records (Sonu), security assessment/testing/user documentation (Huzaifa).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Individual briefs issued.</w:t>
      </w:r>
      <w:r>
        <w:rPr>
          <w:rFonts w:ascii="Calibri" w:cs="Calibri" w:eastAsia="Calibri" w:hAnsi="Calibri"/>
          <w:sz w:val="22"/>
          <w:szCs w:val="22"/>
        </w:rPr>
        <w:t xml:space="preserve"> Each member received a technical brief covering their module's purpose, specification, tests to write, commit workflow and viva questions; a shared 47-question viva preparation document was issued covering the project, the benchmark comparison and each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access.</w:t>
      </w:r>
      <w:r>
        <w:rPr>
          <w:rFonts w:ascii="Calibri" w:cs="Calibri" w:eastAsia="Calibri" w:hAnsi="Calibri"/>
          <w:sz w:val="22"/>
          <w:szCs w:val="22"/>
        </w:rPr>
        <w:t xml:space="preserve"> Supervisor added as repository collaborator; branch-based workflow with pull-request review adopted for team contributions.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Evidence of Technical Progress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2.1 Benchmark replication</w:t>
      </w:r>
    </w:p>
    <w:p>
      <w:pPr>
        <w:spacing w:after="40" w:before="140"/>
        <w:jc w:val="center"/>
      </w:pPr>
      <w:r>
        <w:drawing>
          <wp:inline distT="0" distB="0" distL="0" distR="0">
            <wp:extent cx="3810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Execution of compare_models.py on the full 82,486-email corpus: Logistic Regression baseline F1 0.9865 (FP 0.0144) and LinearSVC benchmark replication F1 0.9916 (FP 0.0095), against the published [41] result of 0.99 on identical data.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2.2 URL verification service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POST /verify on an unreported suspicious URL: verdict 'suspicious', heuristic risk 75/100, four findings returned (no HTTPS, multiple hyphens, high-risk TLD, credential-lure keywords), 9.3 ms.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GET /chain/validate recomputes every hash in the registry: valid = true across all entries, demonstrating tamper-evidence (FR-04, refinement R-01).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F4E5F"/>
          <w:sz w:val="23"/>
          <w:szCs w:val="23"/>
        </w:rPr>
        <w:t xml:space="preserve">2.3 Integrated system through the frontend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Detection through the interface: simulated phishing email classified PHISHING at 98.07/100 with explainable indicators (account, http, click, verify, immediately), 10.8 ms (FR-01, FR-02).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Contrast case: legitimate email classified LEGITIMATE at 0.85/100, 7 ms — consistent with the measured 1.44% false-positive rate.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URL verification through the interface: previously reported URL returns BLOCKED at 75/100 with registry status 'malicious' and chain proof hash displayed, 1.4 ms (FR-03, FR-04).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Environment &amp; Infrastructure Setup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Platform.</w:t>
      </w:r>
      <w:r>
        <w:rPr>
          <w:rFonts w:ascii="Calibri" w:cs="Calibri" w:eastAsia="Calibri" w:hAnsi="Calibri"/>
          <w:sz w:val="22"/>
          <w:szCs w:val="22"/>
        </w:rPr>
        <w:t xml:space="preserve"> Windows 11 workstations; Python 3.14 in per-project virtual environments; Visual Studio Code; Git with GitHub Desktop.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Stack.</w:t>
      </w:r>
      <w:r>
        <w:rPr>
          <w:rFonts w:ascii="Calibri" w:cs="Calibri" w:eastAsia="Calibri" w:hAnsi="Calibri"/>
          <w:sz w:val="22"/>
          <w:szCs w:val="22"/>
        </w:rPr>
        <w:t xml:space="preserve"> Detection — FastAPI + uvicorn, scikit-learn (TF-IDF, LogisticRegression, LinearSVC), pandas, joblib. URL verification — FastAPI, hashlib (SHA-256), sqlite3. Training — FastAPI, sqlite3. Frontend — HTML/CSS/vanilla JavaScript (React retained for the full dashboard). Testing — pytest with FastAPI TestClient.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topology.</w:t>
      </w:r>
      <w:r>
        <w:rPr>
          <w:rFonts w:ascii="Calibri" w:cs="Calibri" w:eastAsia="Calibri" w:hAnsi="Calibri"/>
          <w:sz w:val="22"/>
          <w:szCs w:val="22"/>
        </w:rPr>
        <w:t xml:space="preserve"> Three independent services on ports 8001 (detection), 8002 (URL verification) and 8003 (training), each with its own datastore and health endpoint, preserving the Part A microservice decomposition.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hygiene.</w:t>
      </w:r>
      <w:r>
        <w:rPr>
          <w:rFonts w:ascii="Calibri" w:cs="Calibri" w:eastAsia="Calibri" w:hAnsi="Calibri"/>
          <w:sz w:val="22"/>
          <w:szCs w:val="22"/>
        </w:rPr>
        <w:t xml:space="preserve"> Datasets, trained model binaries, generated databases (registry.db, training.db) and virtual environments are excluded via .gitignore; configuration follows a committed .env.example pattern with no secrets in version control.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Continuous integration.</w:t>
      </w:r>
      <w:r>
        <w:rPr>
          <w:rFonts w:ascii="Calibri" w:cs="Calibri" w:eastAsia="Calibri" w:hAnsi="Calibri"/>
          <w:sz w:val="22"/>
          <w:szCs w:val="22"/>
        </w:rPr>
        <w:t xml:space="preserve"> GitHub Actions runs the pytest suite on every push and pull request. Model-dependent tests skip cleanly where the locally trained model is absent; model-free tests (including the URL verification suite) execute in CI, so the pipeline now exercises real assertions.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Branching.</w:t>
      </w:r>
      <w:r>
        <w:rPr>
          <w:rFonts w:ascii="Calibri" w:cs="Calibri" w:eastAsia="Calibri" w:hAnsi="Calibri"/>
          <w:sz w:val="22"/>
          <w:szCs w:val="22"/>
        </w:rPr>
        <w:t xml:space="preserve"> main is protected; team contributions are made on feature branches and merged through reviewed pull requests.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Testing Status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100"/>
        <w:gridCol w:w="2000"/>
      </w:tblGrid>
      <w:tr>
        <w:trPr>
          <w:tblHeader/>
        </w:trPr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Traced to</w:t>
            </w:r>
          </w:p>
        </w:tc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TD-01..TD-05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Detection: health, phishing detection, legitimate pass-through, explainability, latency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FR-01, FR-02, FR-09, NFR-03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Passing</w:t>
            </w:r>
          </w:p>
        </w:tc>
      </w:tr>
      <w:tr>
        <w:trPr>
          <w:tblHeader w:val="false"/>
        </w:trPr>
        <w:tc>
          <w:tcPr>
            <w:tcW w:type="dxa" w:w="1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TU-01..TU-03</w:t>
            </w:r>
          </w:p>
        </w:tc>
        <w:tc>
          <w:tcPr>
            <w:tcW w:type="dxa" w:w="3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 verification: heuristic flagging, report-then-blocked flip with proof, chain integrity</w:t>
            </w:r>
          </w:p>
        </w:tc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FR-03, FR-04</w:t>
            </w:r>
          </w:p>
        </w:tc>
        <w:tc>
          <w:tcPr>
            <w:tcW w:type="dxa" w:w="2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Passing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TT-01..TT-05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Training: score calculation, risk EWMA up/down, risk bands, persona-aware lesson selection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FR-05, FR-06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Specified — with module owner</w:t>
            </w:r>
          </w:p>
        </w:tc>
      </w:tr>
      <w:tr>
        <w:trPr>
          <w:tblHeader w:val="false"/>
        </w:trPr>
        <w:tc>
          <w:tcPr>
            <w:tcW w:type="dxa" w:w="1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TS-01..TS-05</w:t>
            </w:r>
          </w:p>
        </w:tc>
        <w:tc>
          <w:tcPr>
            <w:tcW w:type="dxa" w:w="3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and negative cases: SQL metacharacter handling, empty input, unknown user 404, quiz answer withholding, health checks</w:t>
            </w:r>
          </w:p>
        </w:tc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NFR-05</w:t>
            </w:r>
          </w:p>
        </w:tc>
        <w:tc>
          <w:tcPr>
            <w:tcW w:type="dxa" w:w="2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Specified — with module owner</w:t>
            </w:r>
          </w:p>
        </w:tc>
      </w:tr>
    </w:tbl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Current suite: 8 tests passing in 4.4 s locally and in CI. Model evaluation is reported separately against NFR-01 with full confusion matrices.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Progress Against KPIs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300"/>
        <w:gridCol w:w="1800"/>
      </w:tblGrid>
      <w:tr>
        <w:trPr>
          <w:tblHeader/>
        </w:trPr>
        <w:tc>
          <w:tcPr>
            <w:tcW w:type="dxa" w:w="2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 (Part A §4.5)</w:t>
            </w:r>
          </w:p>
        </w:tc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F1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0.95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0.9916 (SVM) · 0.9865 (LR)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Met; matches benchmark [41]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False-positive rate</w:t>
            </w:r>
          </w:p>
        </w:tc>
        <w:tc>
          <w:tcPr>
            <w:tcW w:type="dxa" w:w="2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2%</w:t>
            </w:r>
          </w:p>
        </w:tc>
        <w:tc>
          <w:tcPr>
            <w:tcW w:type="dxa" w:w="2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0.95% (SVM) · 1.44% (LR)</w:t>
            </w:r>
          </w:p>
        </w:tc>
        <w:tc>
          <w:tcPr>
            <w:tcW w:type="dxa" w:w="1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Classification latency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2,000 ms (R-05)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7–11 ms (CPU)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 verification latency</w:t>
            </w:r>
          </w:p>
        </w:tc>
        <w:tc>
          <w:tcPr>
            <w:tcW w:type="dxa" w:w="2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2,000 ms (R-05)</w:t>
            </w:r>
          </w:p>
        </w:tc>
        <w:tc>
          <w:tcPr>
            <w:tcW w:type="dxa" w:w="2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1.4–9.3 ms</w:t>
            </w:r>
          </w:p>
        </w:tc>
        <w:tc>
          <w:tcPr>
            <w:tcW w:type="dxa" w:w="1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Registry tamper-evidence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Verifiable chain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chain/validate = valid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 (PoC scope, R-01)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Risky-click reduction (RBCR)</w:t>
            </w:r>
          </w:p>
        </w:tc>
        <w:tc>
          <w:tcPr>
            <w:tcW w:type="dxa" w:w="2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30% (simulated)</w:t>
            </w:r>
          </w:p>
        </w:tc>
        <w:tc>
          <w:tcPr>
            <w:tcW w:type="dxa" w:w="2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 phase</w:t>
            </w:r>
          </w:p>
        </w:tc>
        <w:tc>
          <w:tcPr>
            <w:tcW w:type="dxa" w:w="1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Scheduled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uptake &gt; 80%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Deferred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real user population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Documented as future work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Issues, Risks &amp; How You Handled Them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Benchmark comparability (supervisor's primary concern).</w:t>
      </w:r>
      <w:r>
        <w:rPr>
          <w:rFonts w:ascii="Calibri" w:cs="Calibri" w:eastAsia="Calibri" w:hAnsi="Calibri"/>
          <w:sz w:val="22"/>
          <w:szCs w:val="22"/>
        </w:rPr>
        <w:t xml:space="preserve"> Risk that our results would not be comparable to published work. Resolved by tracing the dataset to its own source publication rather than selecting a topically similar paper — giving an identical-corpus comparison. Verified by matching class counts exactly (42,891 / 39,595).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Replication variance.</w:t>
      </w:r>
      <w:r>
        <w:rPr>
          <w:rFonts w:ascii="Calibri" w:cs="Calibri" w:eastAsia="Calibri" w:hAnsi="Calibri"/>
          <w:sz w:val="22"/>
          <w:szCs w:val="22"/>
        </w:rPr>
        <w:t xml:space="preserve"> Our SVM replication returns 0.9916 against the published 0.99. Treated as a match rather than a discrepancy: the paper reports to two decimal places and does not fully specify preprocessing (feature count, n-gram range, stop words, split seed, class weighting). An exact four-decimal reproduction would be implausible; landing in the same performance band is what validates the pipeline.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distribution.</w:t>
      </w:r>
      <w:r>
        <w:rPr>
          <w:rFonts w:ascii="Calibri" w:cs="Calibri" w:eastAsia="Calibri" w:hAnsi="Calibri"/>
          <w:sz w:val="22"/>
          <w:szCs w:val="22"/>
        </w:rPr>
        <w:t xml:space="preserve"> Supervisor identified concentration of work in one person as a serious risk. Addressed by formalising the RACI with a single accountable owner per activity, writing individual technical briefs with specifications rather than finished code for module owners, adopting branch-and-pull-request workflow, and issuing a viva preparation document so each member can defend their module independently.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Cross-origin request failure.</w:t>
      </w:r>
      <w:r>
        <w:rPr>
          <w:rFonts w:ascii="Calibri" w:cs="Calibri" w:eastAsia="Calibri" w:hAnsi="Calibri"/>
          <w:sz w:val="22"/>
          <w:szCs w:val="22"/>
        </w:rPr>
        <w:t xml:space="preserve"> Browser requests from the local demo page were blocked by the same-origin policy. Resolved with CORS middleware on both services, deliberately permissive for local demonstration and immediately recorded as an OWASP A05 finding for restriction before deployment — an example of the security assessment process operating during development rather than after 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Malformed input during testing.</w:t>
      </w:r>
      <w:r>
        <w:rPr>
          <w:rFonts w:ascii="Calibri" w:cs="Calibri" w:eastAsia="Calibri" w:hAnsi="Calibri"/>
          <w:sz w:val="22"/>
          <w:szCs w:val="22"/>
        </w:rPr>
        <w:t xml:space="preserve"> Early API tests returned HTTP 422 due to malformed request bodies. Root cause identified from the validation error detail; corrected requests classified successfully. Retained as negative-test evidence that server-side input validation rejects malformed input with a descriptive error rather than failing (NFR-05).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validity limitation.</w:t>
      </w:r>
      <w:r>
        <w:rPr>
          <w:rFonts w:ascii="Calibri" w:cs="Calibri" w:eastAsia="Calibri" w:hAnsi="Calibri"/>
          <w:sz w:val="22"/>
          <w:szCs w:val="22"/>
        </w:rPr>
        <w:t xml:space="preserve"> Model quality on public research corpora will not transfer unchanged to live institutional mail (domain shift). Recorded openly rather than presented as a deployment guarantee; the transformer comparison and, in production, retraining on institutional data are the mitigations.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hygiene.</w:t>
      </w:r>
      <w:r>
        <w:rPr>
          <w:rFonts w:ascii="Calibri" w:cs="Calibri" w:eastAsia="Calibri" w:hAnsi="Calibri"/>
          <w:sz w:val="22"/>
          <w:szCs w:val="22"/>
        </w:rPr>
        <w:t xml:space="preserve"> Generated artefacts (trained model, registry.db, training.db) initially appeared in version control. Added to .gitignore before commit; the repository holds code, documentation and evidence only, with the model reproducible via train.py.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7. Plan for Next Week (Week 4)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Transformer comparison.</w:t>
      </w:r>
      <w:r>
        <w:rPr>
          <w:rFonts w:ascii="Calibri" w:cs="Calibri" w:eastAsia="Calibri" w:hAnsi="Calibri"/>
          <w:sz w:val="22"/>
          <w:szCs w:val="22"/>
        </w:rPr>
        <w:t xml:space="preserve"> Fine-tune a DistilBERT classifier on the same corpus and evaluate with the same metrics, completing a three-way comparison: published SVM benchmark [41], our classical baseline, and a transformer. This is the preliminary-results milestone.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module completion.</w:t>
      </w:r>
      <w:r>
        <w:rPr>
          <w:rFonts w:ascii="Calibri" w:cs="Calibri" w:eastAsia="Calibri" w:hAnsi="Calibri"/>
          <w:sz w:val="22"/>
          <w:szCs w:val="22"/>
        </w:rPr>
        <w:t xml:space="preserve"> Module owner to implement the scoring engine (attempt scoring, EWMA risk update, banding, adaptive selection) and tests TT-01..TT-05, bringing the training service to a running state.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Awareness content expansion.</w:t>
      </w:r>
      <w:r>
        <w:rPr>
          <w:rFonts w:ascii="Calibri" w:cs="Calibri" w:eastAsia="Calibri" w:hAnsi="Calibri"/>
          <w:sz w:val="22"/>
          <w:szCs w:val="22"/>
        </w:rPr>
        <w:t xml:space="preserve"> Extend the lesson and question library across the three personas and all difficulty levels so adaptive selection has sufficient content.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assessment.</w:t>
      </w:r>
      <w:r>
        <w:rPr>
          <w:rFonts w:ascii="Calibri" w:cs="Calibri" w:eastAsia="Calibri" w:hAnsi="Calibri"/>
          <w:sz w:val="22"/>
          <w:szCs w:val="22"/>
        </w:rPr>
        <w:t xml:space="preserve"> OWASP Top 10 self-assessment against our own services with findings, severities and fixes documented; security and negative tests TS-01..TS-05 added.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 dashboard.</w:t>
      </w:r>
      <w:r>
        <w:rPr>
          <w:rFonts w:ascii="Calibri" w:cs="Calibri" w:eastAsia="Calibri" w:hAnsi="Calibri"/>
          <w:sz w:val="22"/>
          <w:szCs w:val="22"/>
        </w:rPr>
        <w:t xml:space="preserve"> Charts for detection volume, risk distribution and training completion (FR-07), integrating all three services behind one interface.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Presentation 1 preparation.</w:t>
      </w:r>
      <w:r>
        <w:rPr>
          <w:rFonts w:ascii="Calibri" w:cs="Calibri" w:eastAsia="Calibri" w:hAnsi="Calibri"/>
          <w:sz w:val="22"/>
          <w:szCs w:val="22"/>
        </w:rPr>
        <w:t xml:space="preserve"> Five-minute MVP presentation covering problem, approach, artefact demonstration with justification, testing status, and ethical/security/privacy considerations, with a recorded backup demonstration.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8. Attachments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Meeting Minutes #1 — supervisor consultation (docs/minutes/)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Meeting Minutes #2 — team meeting, module allocation (docs/minutes/)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Dataset and Benchmark Justification (docs/)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Implementation Project Plan with final RACI (docs/)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Evidence screenshots (docs/evidence/)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9. Supervisor Notes (Optional)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ff34024ffde9f50ec805aa7ce198b15dbe8527.png"/><Relationship Id="rId8" Type="http://schemas.openxmlformats.org/officeDocument/2006/relationships/image" Target="media/43a471c070133f2aa4aaf7d08da10062a6a3584e.png"/><Relationship Id="rId9" Type="http://schemas.openxmlformats.org/officeDocument/2006/relationships/image" Target="media/024df764caed5d1bcf44756b324c8d1b996fe098.png"/><Relationship Id="rId10" Type="http://schemas.openxmlformats.org/officeDocument/2006/relationships/image" Target="media/1ad6b31486e83664cd7e51788ac64b3e0e8caad1.png"/><Relationship Id="rId11" Type="http://schemas.openxmlformats.org/officeDocument/2006/relationships/image" Target="media/23701ac844b95a6c09aac700b60dfa09d6a94823.png"/><Relationship Id="rId12" Type="http://schemas.openxmlformats.org/officeDocument/2006/relationships/image" Target="media/6b409e536982a247d7adddcf09d44b114285962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2026-07-20T12:55:05.982Z</dcterms:created>
  <dcterms:modified xsi:type="dcterms:W3CDTF">2026-07-20T12:55:05.995Z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