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29"/>
          <w:szCs w:val="29"/>
        </w:rPr>
        <w:t xml:space="preserve">Reference [41] — Input / Process / Output Breakdown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Al-Subaiey et al. (2024) · Computers and Electrical Engineering 120:109625 · Q1 · SEDAS benchmark</w:t>
      </w:r>
    </w:p>
    <w:p>
      <w:pPr>
        <w:spacing w:after="120" w:line="270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Each table below lists your existing column headers down the left, so every value can be copied into the matching cell of the horizontal table. A SEDAS column is included so the comparison row can be filled at the same time.</w:t>
      </w:r>
    </w:p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4E5F"/>
          <w:sz w:val="27"/>
          <w:szCs w:val="27"/>
        </w:rPr>
        <w:t xml:space="preserve">1 · INPUT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[41] Al-Subaiey et al. (2024)</w:t>
            </w:r>
          </w:p>
        </w:tc>
        <w:tc>
          <w:tcPr>
            <w:tcW w:type="dxa" w:w="34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SEDAS (our implementation)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 No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[41]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Hardware/Devices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compute; web application server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laptop/workstation; no GPU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Software Tools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Python, scikit-learn, LIME, web framework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 3.14, scikit-learn, FastAPI, uvicorn, joblib, pandas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vectorisation + supervised classification (SVM)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vectorisation + Logistic Regression (baseline) and LinearSVC (replication)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Dataset Name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Phishing Email Dataset (combined public corpus)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Identical — Phishing Email Dataset (Kaggle, N. A. Alam)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Dataset Size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82,500 emails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82,486 usable rows (after null removal)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Dataset Variation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42,891 phishing / 39,595 legitimate; six merged corpora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42,891 phishing / 39,595 legitimate — exact match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Other Parameters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Accuracy, precision, recall, F1; interpretability (LIME)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Accuracy, precision, recall, F1, false-positive rate, confusion matrix, latency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Values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F1 = 0.99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F1 = 0.9916 (SVM), 0.9865 (LR); FP rate 0.0095 / 0.0144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Enron, Ling-Spam, CEAS 2008, Nazario, Nigerian Fraud, SpamAssassin (all public)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Same six public corpora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Features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term weights over merged subject + body text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TF-IDF, 50,000 features, 1–2 grams, English stop-words removed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Merge → preprocess → vectorise → classify → explain → deploy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→ 80/20 stratified split (seed 42) → vectorise → classify → evaluate → serve via REST API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Platform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Web application (real-time end-user detection)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FastAPI microservice + browser interface (ports 8001/8002/8003)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Sample Size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82,500 emails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82,486 (65,988 train / 16,498 held-out test)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Training Time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reported (classical ML, CPU, minutes-scale)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2–4 minutes per model on CPU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Processing Speed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reported (real-time web application)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7–11 ms per classification request</w:t>
            </w:r>
          </w:p>
        </w:tc>
      </w:tr>
    </w:tbl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4E5F"/>
          <w:sz w:val="27"/>
          <w:szCs w:val="27"/>
        </w:rPr>
        <w:t xml:space="preserve">2 · PROCESS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[41] Al-Subaiey et al. (2024)</w:t>
            </w:r>
          </w:p>
        </w:tc>
        <w:tc>
          <w:tcPr>
            <w:tcW w:type="dxa" w:w="34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SEDAS (our implementation)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 No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[41]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 classification pipeline with interpretable output, deployed for end users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Multi-service pipeline: email classification, URL verification, awareness training, governance analytics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Supervised machine learning with Explainable AI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Supervised machine learning with coefficient-based explainability; heuristic URL analysis; hash-chained registry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SVM (primary); classical ML models compared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 Regression (baseline), LinearSVC (benchmark replication), DistilBERT (planned extension)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Algorithm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Support Vector Machine on TF-IDF features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 Regression / Linear SVM on TF-IDF; SHA-256 hash chaining; EWMA risk scoring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Single-stage text classifier served through a web application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Microservice architecture — three independent REST services with a browser front end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Technique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vectorisation; LIME local explanations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vectorisation; coefficient-weighted indicator extraction; heuristic URL scoring; persona-based adaptive training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Technology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Python, scikit-learn, LIME, web deployment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Python, scikit-learn, FastAPI, SQLite, HTML/CSS/JS, GitHub Actions CI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ML + XAI phishing detection framework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Integrated socio-technical defence framework (detection + verification + human training + governance)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Attributes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Interpretable, reproducible (public data), deployable, robust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Interpretable, reproducible, tamper-evident, adaptive, testable (traced test suite), CI-verified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Model Complexity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Low–medium (classical ML, no deep architecture)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Low–medium (classical ML); transformer extension planned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Scalability Factor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 — lightweight CPU inference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 — stateless services, containerisable (Docker Compose; Kubernetes path retained)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Implementation Cost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 — open-source stack, no GPU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 — open-source stack, no GPU, no cloud spend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Resource Requirements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server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workstation; SQLite storage; no specialised hardware</w:t>
            </w:r>
          </w:p>
        </w:tc>
      </w:tr>
    </w:tbl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4E5F"/>
          <w:sz w:val="27"/>
          <w:szCs w:val="27"/>
        </w:rPr>
        <w:t xml:space="preserve">3 · OUTPUT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[41] Al-Subaiey et al. (2024)</w:t>
            </w:r>
          </w:p>
        </w:tc>
        <w:tc>
          <w:tcPr>
            <w:tcW w:type="dxa" w:w="3400"/>
            <w:shd w:fill="1F4E5F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SEDAS (our implementation)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 No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[41]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Hardware/Devices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compute; web server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CPU workstation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Software Tools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Python, scikit-learn, LIME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Python, scikit-learn, FastAPI, pytest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+ SVM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+ LinearSVC (replication); TF-IDF + Logistic Regression (baseline)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Accuracy (%)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99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99.12 (SVM) · 98.59 (LR)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Reduction Rate (%)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yet measured — behavioural RBCR reduction scheduled for the Transition phase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Latency (ms)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reported (real-time)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9.4–10.8 (email classification) · 1.4–9.3 (URL verification)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Global Impact Score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Assign on your existing scale (suggest 9.5 — Q1, exact-dataset benchmark, deployed and interpretable)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Assign on your existing scale once final results are in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Preprocess → TF-IDF → SVM → LIME explanation → web delivery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→ split → vectorise → classify → explain → REST response → UI render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Findings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TF-IDF + SVM pipeline on the largest available public corpus achieves F1 0.99; XAI (LIME) raises user trust; deployable as a real-time web application, removing the proprietary-dataset limitation of prior work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Replication on the identical corpus achieves F1 0.9916, validating the pipeline; additionally reports false-positive rate, confusion matrix and measured latency, and integrates detection with tamper-evident URL verification and adaptive awareness training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Features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term weights (subject + body)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TF-IDF term weights (50k, 1–2 grams) plus explainable top-indicator output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Precision (%)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99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99.13 (SVM) · 98.67 (LR)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 (%)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99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99.18 (SVM) · 98.62 (LR)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F1-Score (%)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99.16 (SVM) · 98.65 (LR)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Error Rate (%)</w:t>
            </w:r>
          </w:p>
        </w:tc>
        <w:tc>
          <w:tcPr>
            <w:tcW w:type="dxa" w:w="36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1 (derived from reported accuracy)</w:t>
            </w:r>
          </w:p>
        </w:tc>
        <w:tc>
          <w:tcPr>
            <w:tcW w:type="dxa" w:w="3400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 (SVM) · 1.41 (LR); false-positive rate 0.95 / 1.44</w:t>
            </w:r>
          </w:p>
        </w:tc>
      </w:tr>
      <w:tr>
        <w:trPr>
          <w:tblHeader w:val="false"/>
        </w:trPr>
        <w:tc>
          <w:tcPr>
            <w:tcW w:type="dxa" w:w="20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Throughput</w:t>
            </w:r>
          </w:p>
        </w:tc>
        <w:tc>
          <w:tcPr>
            <w:tcW w:type="dxa" w:w="36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reported</w:t>
            </w:r>
          </w:p>
        </w:tc>
        <w:tc>
          <w:tcPr>
            <w:tcW w:type="dxa" w:w="3400"/>
            <w:shd w:fill="F4F8FA" w:val="clear"/>
            <w:tcMar>
              <w:top w:type="dxa" w:w="65"/>
              <w:left w:type="dxa" w:w="85"/>
              <w:bottom w:type="dxa" w:w="65"/>
              <w:right w:type="dxa" w:w="85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≈ 90–140 classifications/sec single-threaded on CPU (derived from measured latency)</w:t>
            </w:r>
          </w:p>
        </w:tc>
      </w:tr>
    </w:tbl>
    <w:p>
      <w:pPr>
        <w:pStyle w:val="Heading1"/>
        <w:spacing w:after="130" w:before="320"/>
      </w:pPr>
      <w:r>
        <w:rPr>
          <w:rFonts w:ascii="Calibri" w:cs="Calibri" w:eastAsia="Calibri" w:hAnsi="Calibri"/>
          <w:b/>
          <w:bCs/>
          <w:color w:val="1F4E5F"/>
          <w:sz w:val="27"/>
          <w:szCs w:val="27"/>
        </w:rPr>
        <w:t xml:space="preserve">4 · Notes before you paste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Reported vs not reported.</w:t>
      </w:r>
      <w:r>
        <w:rPr>
          <w:rFonts w:ascii="Calibri" w:cs="Calibri" w:eastAsia="Calibri" w:hAnsi="Calibri"/>
          <w:sz w:val="21"/>
          <w:szCs w:val="21"/>
        </w:rPr>
        <w:t xml:space="preserve"> The paper's abstract and results report an F1 of 0.99; accuracy, precision and recall are at the same level. Where the paper does not report a figure the cell says 'Not reported' — do not invent a number, because the empty cells are part of the argument: SEDAS reports metrics the benchmark does not.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Global Impact Score.</w:t>
      </w:r>
      <w:r>
        <w:rPr>
          <w:rFonts w:ascii="Calibri" w:cs="Calibri" w:eastAsia="Calibri" w:hAnsi="Calibri"/>
          <w:sz w:val="21"/>
          <w:szCs w:val="21"/>
        </w:rPr>
        <w:t xml:space="preserve"> 'Global Impact Score' appears to be your own composite rating scale (reference [7] carries 9.3). Assign [41] a value consistent with how you scored the others — Q1 ranking, exact-dataset benchmark, interpretable and deployed would justify a high score.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Derived values.</w:t>
      </w:r>
      <w:r>
        <w:rPr>
          <w:rFonts w:ascii="Calibri" w:cs="Calibri" w:eastAsia="Calibri" w:hAnsi="Calibri"/>
          <w:sz w:val="21"/>
          <w:szCs w:val="21"/>
        </w:rPr>
        <w:t xml:space="preserve"> Throughput for SEDAS is derived from measured per-request latency on a single thread, not from a load test. Label it as derived if the table is read strictly.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Percentage conversion.</w:t>
      </w:r>
      <w:r>
        <w:rPr>
          <w:rFonts w:ascii="Calibri" w:cs="Calibri" w:eastAsia="Calibri" w:hAnsi="Calibri"/>
          <w:sz w:val="21"/>
          <w:szCs w:val="21"/>
        </w:rPr>
        <w:t xml:space="preserve"> Precision, recall and F1 are shown as percentages to match your column headers; our raw values are 0.9913, 0.9918 and 0.9916 respectively.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2026-07-20T13:15:30.993Z</dcterms:created>
  <dcterms:modified xsi:type="dcterms:W3CDTF">2026-07-20T13:15:31.012Z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