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SEDAS — Dataset and Benchmark Justification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MIS5320 Part B · Prepared for supervisor consultation, Week 2 · Team: A. Islam, H. Iqbal, Sonu, D. Kipchirchir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Freely Available Dataset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6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Phishing Email Dataset (combined corpus) — Kaggle, curated by N. A. Alam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kaggle.com/datasets/naserabdullahalam/phishing-email-dataset</w:t>
            </w:r>
          </w:p>
        </w:tc>
      </w:tr>
      <w:tr>
        <w:trPr>
          <w:tblHeader w:val="false"/>
        </w:trPr>
        <w:tc>
          <w:tcPr>
            <w:tcW w:type="dxa" w:w="2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6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 public corpora merged: Enron, Ling-Spam, CEAS 2008, Nazario phishing corpus, Nigerian Fraud, SpamAssassin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Size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82,486 usable emails — 42,891 phishing/spam, 39,595 legitimate (ham)</w:t>
            </w:r>
          </w:p>
        </w:tc>
      </w:tr>
      <w:tr>
        <w:trPr>
          <w:tblHeader w:val="false"/>
        </w:trPr>
        <w:tc>
          <w:tcPr>
            <w:tcW w:type="dxa" w:w="2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Fields</w:t>
            </w:r>
          </w:p>
        </w:tc>
        <w:tc>
          <w:tcPr>
            <w:tcW w:type="dxa" w:w="6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text_combined (subject + body [+ sender/receiver/date where available]), binary label (1 = phishing, 0 = legitimate)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Licence / access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Publicly and freely available; widely cited in 2024–2026 peer-reviewed literature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Source Paper (Benchmark) — Exact Dataset Match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dataset was assembled and published by its authors together with a peer-reviewed study, introduced here as reference [41], continuing the Part A reference register ([1]–[40]):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[41] Al-Subaiey, A., Al-Thani, M., Alam, N. A., Antora, K. F., Khandakar, A., &amp; Zaman, S. M. A. U. (2024). Novel interpretable and robust web-based AI platform for phishing email detection. Computers and Electrical Engineering, 120, 109625. (Preprint: arXiv:2405.11619.)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match with the SEDAS dataset is exact — [41] uses the identical combined corpus (42,891 spam / 39,595 ham ≈ 82,500 emails, matching our loaded 82,486 rows), TF-IDF feature extraction, a supervised classifier, Explainable AI for user trust (LIME), and deployment as a real-time web application for phishing email detection. This is the same problem, the same data, and a directly comparable pipeline to the SEDAS detection service.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Parameters and Results Reported in the Source Paper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100"/>
      </w:tblGrid>
      <w:tr>
        <w:trPr>
          <w:tblHeader/>
        </w:trPr>
        <w:tc>
          <w:tcPr>
            <w:tcW w:type="dxa" w:w="3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 (paper)</w:t>
            </w:r>
          </w:p>
        </w:tc>
        <w:tc>
          <w:tcPr>
            <w:tcW w:type="dxa" w:w="6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approach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Feature extraction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 vectorisation of combined email text</w:t>
            </w:r>
          </w:p>
        </w:tc>
      </w:tr>
      <w:tr>
        <w:trPr>
          <w:tblHeader w:val="false"/>
        </w:trPr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Classifier</w:t>
            </w:r>
          </w:p>
        </w:tc>
        <w:tc>
          <w:tcPr>
            <w:tcW w:type="dxa" w:w="6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Support Vector Machine (SVM); classical ML models compared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Evaluation metrics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Accuracy, Precision, Recall, F1 score</w:t>
            </w:r>
          </w:p>
        </w:tc>
      </w:tr>
      <w:tr>
        <w:trPr>
          <w:tblHeader w:val="false"/>
        </w:trPr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Headline result</w:t>
            </w:r>
          </w:p>
        </w:tc>
        <w:tc>
          <w:tcPr>
            <w:tcW w:type="dxa" w:w="6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 = 0.99 on the combined 82.5k-email corpus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LIME (Local Interpretable Model-agnostic Explanations)</w:t>
            </w:r>
          </w:p>
        </w:tc>
      </w:tr>
      <w:tr>
        <w:trPr>
          <w:tblHeader w:val="false"/>
        </w:trPr>
        <w:tc>
          <w:tcPr>
            <w:tcW w:type="dxa" w:w="3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1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Real-time web application for end users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SEDAS Parameters and Comparison Method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SEDAS applies the same dataset with an identical preprocessing target (text_combined, binary label) and an 80/20 stratified hold-out split (random_state = 42 for reproducibility). Comparison is therefore like-for-like: same corpus, same metrics.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0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F1 (held-out)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Benchmark: SVM (Al-Subaiey et al., 2024)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Published result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SEDAS baseline: Logistic Regression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 (50k features, 1–2 grams)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(Week 1)</w:t>
            </w:r>
          </w:p>
        </w:tc>
        <w:tc>
          <w:tcPr>
            <w:tcW w:type="dxa" w:w="2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0.9865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SEDAS replication: SVM (LinearSVC)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TF-IDF (same pipeline)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Complete (Week 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0.9916 (FP rate 0.0095)</w:t>
            </w:r>
          </w:p>
        </w:tc>
      </w:tr>
      <w:tr>
        <w:trPr>
          <w:tblHeader w:val="false"/>
        </w:trPr>
        <w:tc>
          <w:tcPr>
            <w:tcW w:type="dxa" w:w="26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SEDAS extension: DistilBERT (transformer)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Contextual embeddings</w:t>
            </w:r>
          </w:p>
        </w:tc>
        <w:tc>
          <w:tcPr>
            <w:tcW w:type="dxa" w:w="2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Planned — Week 3/4</w:t>
            </w:r>
          </w:p>
        </w:tc>
        <w:tc>
          <w:tcPr>
            <w:tcW w:type="dxa" w:w="20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Metrics reported for every model: accuracy, precision, recall, F1, false-positive rate, and confusion matrix on the same held-out test set. SEDAS additionally records what the source paper does not: false-positive rates (LR 0.0144; SVM 0.0095), full confusion matrices (SVM: TN=7844, FP=75, FN=70, TP=8509 on 16,498 held-out emails), and per-request latency (≈ 10 ms CPU). The SVM replication (F1 0.9916) matches the published benchmark (0.99) on identical data, validating the SEDAS pipeline end to end.</w:t>
      </w:r>
    </w:p>
    <w:p>
      <w:pPr>
        <w:spacing w:after="40" w:before="140"/>
        <w:jc w:val="center"/>
      </w:pPr>
      <w:r>
        <w:drawing>
          <wp:inline distT="0" distB="0" distL="0" distR="0">
            <wp:extent cx="4000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Evidence: execution of the model comparison (compare_models.py) on the full 82,486-email corpus — Logistic Regression baseline (F1 0.9865) and LinearSVC benchmark replication (F1 0.9916, FP rate 0.0095) against the published [41] result of 0.99.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comparison is meaningful:</w:t>
      </w:r>
      <w:r>
        <w:rPr>
          <w:rFonts w:ascii="Calibri" w:cs="Calibri" w:eastAsia="Calibri" w:hAnsi="Calibri"/>
          <w:sz w:val="22"/>
          <w:szCs w:val="22"/>
        </w:rPr>
        <w:t xml:space="preserve"> The SVM replication validates our pipeline directly against the published benchmark on identical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The DistilBERT extension tests whether transformer-based contextual representation improves on classical TF-IDF approaches — the direction supported by recent literature on the same corpus (e.g., dual-path transformer NLP study, arXiv:2509.20972, Sept 2025), and the transformer approach proposed in our Part A design.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Contribution framing (risk mitigation):</w:t>
      </w:r>
      <w:r>
        <w:rPr>
          <w:rFonts w:ascii="Calibri" w:cs="Calibri" w:eastAsia="Calibri" w:hAnsi="Calibri"/>
          <w:sz w:val="22"/>
          <w:szCs w:val="22"/>
        </w:rPr>
        <w:t xml:space="preserve"> SEDAS's contribution beyond the benchmark: integration of detection with tamper-evident URL verification, adaptive awareness training, and governance analytics in one platform — plus measured latency and negative-input testing not reported in the source paper.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Secondary Comparator (Recent)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Dual-Path Phishing Detection: Integrating Transformer-Based NLP with Structural URL Analysis (arXiv:2509.20972, September 2025) uses the same merged Nazario/Enron/SpamAssassin/CEAS corpus (~82,000 entries) with transformer models — providing a second, more recent reference point for the DistilBERT extension and for combining email-text and URL analysis, mirroring the SEDAS architecture.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Relationship to the Part A Literature Review (by reference number)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Part A (MIS5203) reference register [1]–[40] established the evaluation parameters this project uses; the mapping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00"/>
        <w:gridCol w:w="330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A ref</w:t>
            </w:r>
          </w:p>
        </w:tc>
        <w:tc>
          <w:tcPr>
            <w:tcW w:type="dxa" w:w="4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 (A. Islam section, 240135)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 contributed to SEDAS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[3]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Investigation of Phishing Susceptibility with Explainable Artificial Intelligence (Future Internet, 2024)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Explainability requirement — implemented as top-indicator output (FR-02); mirrors XAI/LIME in [41]</w:t>
            </w:r>
          </w:p>
        </w:tc>
      </w:tr>
      <w:tr>
        <w:trPr>
          <w:tblHeader w:val="false"/>
        </w:trPr>
        <w:tc>
          <w:tcPr>
            <w:tcW w:type="dxa" w:w="1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[7]</w:t>
            </w:r>
          </w:p>
        </w:tc>
        <w:tc>
          <w:tcPr>
            <w:tcW w:type="dxa" w:w="4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Survey on Phishing Attack Taxonomy, Detection Techniques, Datasets, and Security Measures (J. Applied Security Research, 2025)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Dataset landscape (Nazario/Enron corpora canonical) and detection-metric framework; Part A comparative analysis under [7] (CNN-LSTM email detection, ~98.2% accuracy, 1.8% FP, 50 ms latency) anchored the Part A KPIs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[8]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Staying ahead of phishers: a review of recent advances and emerging methodologies in phishing detection (Artificial Intelligence Review, 2024)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Detection-methodology lineage, incl. transformer-based approaches — basis for the DistilBERT extension</w:t>
            </w:r>
          </w:p>
        </w:tc>
      </w:tr>
      <w:tr>
        <w:trPr>
          <w:tblHeader w:val="false"/>
        </w:trPr>
        <w:tc>
          <w:tcPr>
            <w:tcW w:type="dxa" w:w="12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[41] (new, Part B)</w:t>
            </w:r>
          </w:p>
        </w:tc>
        <w:tc>
          <w:tcPr>
            <w:tcW w:type="dxa" w:w="4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Al-Subaiey et al. (2024), Computers and Electrical Engineering 120:109625</w:t>
            </w:r>
          </w:p>
        </w:tc>
        <w:tc>
          <w:tcPr>
            <w:tcW w:type="dxa" w:w="3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Exact dataset match — same 82.5k corpus; published TF-IDF+SVM F1 = 0.99 benchmark, replicated by SEDAS at 0.9916</w:t>
            </w:r>
          </w:p>
        </w:tc>
      </w:tr>
    </w:tbl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Part B therefore satisfies both benchmark conditions discussed with the supervisor: the evaluation parameters are anchored in the Part A register ([3], [7], [8]), and the dataset is identical to a recent peer-reviewed study with published results ([41]) — enabling a direct like-for-like comparison on the same corpus. Introducing [41] during implementation is a documented Part B refinement (ULO 1): the Part A review anchored the parameters; the implementation phase identified the dataset's source publication as the exact benchmark.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ff34024ffde9f50ec805aa7ce198b15dbe85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2026-07-20T11:13:58.592Z</dcterms:created>
  <dcterms:modified xsi:type="dcterms:W3CDTF">2026-07-20T11:13:58.604Z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