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Banking Dashboard</w:t>
      </w:r>
    </w:p>
    <w:p>
      <w:pPr>
        <w:pStyle w:val="Normal"/>
        <w:rPr>
          <w:highlight w:val="none"/>
          <w:shd w:fill="FFFFFF" w:val="clear"/>
        </w:rPr>
      </w:pPr>
      <w:r>
        <w:rPr>
          <w:b/>
          <w:bCs/>
          <w:sz w:val="28"/>
          <w:szCs w:val="28"/>
          <w:shd w:fill="FFFFFF" w:val="clear"/>
        </w:rPr>
        <w:t>Problem Statement –</w:t>
      </w:r>
    </w:p>
    <w:p>
      <w:pPr>
        <w:pStyle w:val="Normal"/>
        <w:rPr>
          <w:highlight w:val="none"/>
          <w:shd w:fill="FFFFFF" w:val="clear"/>
        </w:rPr>
      </w:pPr>
      <w:r>
        <w:rPr>
          <w:sz w:val="24"/>
          <w:szCs w:val="24"/>
          <w:shd w:fill="FFFFFF" w:val="clear"/>
        </w:rPr>
        <w:t>Develop</w:t>
      </w:r>
      <w:r>
        <w:rPr>
          <w:sz w:val="24"/>
          <w:szCs w:val="24"/>
          <w:shd w:fill="FFFFFF" w:val="clear"/>
        </w:rPr>
        <w:t>ed</w:t>
      </w:r>
      <w:r>
        <w:rPr>
          <w:sz w:val="24"/>
          <w:szCs w:val="24"/>
          <w:shd w:fill="FFFFFF" w:val="clear"/>
        </w:rPr>
        <w:t xml:space="preserve"> a basic understanding of risk analytics in banking and financial services and understand how data is used to minimise the risk of losing money while lending to customers.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With our dashboards which are created using Power BI latest tools helps the company to make a decision based on the applicant’s profile like if the applicant is likely to repay the loan then approving the loan otherwise not.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About Dataset – </w:t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 bank details, various client details which consists of multiple tables which are interlinked with each other t</w:t>
      </w:r>
      <w:bookmarkStart w:id="0" w:name="_GoBack"/>
      <w:bookmarkEnd w:id="0"/>
      <w:r>
        <w:rPr>
          <w:bCs/>
          <w:sz w:val="24"/>
          <w:szCs w:val="24"/>
        </w:rPr>
        <w:t>hrough keys like primary key and foreign key.</w:t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The various tables are Banking Relationship, Client-Banking, Gender, Investment Advisor and Period.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Data Cleaning –</w:t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Engagement Timeframe in client-banking column which tells about the time line of the clients in banks</w:t>
      </w:r>
    </w:p>
    <w:p>
      <w:pPr>
        <w:pStyle w:val="Normal"/>
        <w:rPr>
          <w:bCs/>
          <w:sz w:val="24"/>
          <w:szCs w:val="24"/>
        </w:rPr>
      </w:pPr>
      <w:r>
        <w:rPr/>
        <w:drawing>
          <wp:inline distT="0" distB="0" distL="0" distR="0">
            <wp:extent cx="5731510" cy="214884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Engagment Days in Client-Banking table how many days the client spent from the date of joining in banks</w:t>
      </w:r>
    </w:p>
    <w:p>
      <w:pPr>
        <w:pStyle w:val="Normal"/>
        <w:rPr>
          <w:bCs/>
          <w:sz w:val="24"/>
          <w:szCs w:val="24"/>
        </w:rPr>
      </w:pPr>
      <w:r>
        <w:rPr/>
        <w:drawing>
          <wp:inline distT="0" distB="0" distL="0" distR="0">
            <wp:extent cx="5159375" cy="307086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Creating bins for the Estimated Income &lt; 100000 as low and &lt;300000 as Mid with the column named as Income Band in Clients-Banking table.</w:t>
      </w:r>
    </w:p>
    <w:p>
      <w:pPr>
        <w:pStyle w:val="Normal"/>
        <w:rPr>
          <w:bCs/>
          <w:sz w:val="24"/>
          <w:szCs w:val="24"/>
        </w:rPr>
      </w:pPr>
      <w:r>
        <w:rPr/>
        <w:drawing>
          <wp:inline distT="0" distB="0" distL="0" distR="0">
            <wp:extent cx="5166360" cy="372618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4"/>
          <w:szCs w:val="24"/>
        </w:rPr>
        <w:t xml:space="preserve"> </w:t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>
      <w:pPr>
        <w:pStyle w:val="Normal"/>
        <w:rPr>
          <w:bCs/>
          <w:sz w:val="24"/>
          <w:szCs w:val="24"/>
        </w:rPr>
      </w:pPr>
      <w:r>
        <w:rPr/>
        <w:drawing>
          <wp:inline distT="0" distB="0" distL="0" distR="0">
            <wp:extent cx="4511675" cy="3749675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Calculated Functions –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Sum : </w:t>
      </w:r>
    </w:p>
    <w:p>
      <w:pPr>
        <w:pStyle w:val="Normal"/>
        <w:ind w:start="720"/>
        <w:rPr>
          <w:bCs/>
          <w:sz w:val="28"/>
          <w:szCs w:val="28"/>
        </w:rPr>
      </w:pPr>
      <w:r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  <w:t>Syntax :</w:t>
      </w:r>
    </w:p>
    <w:p>
      <w:pPr>
        <w:pStyle w:val="Normal"/>
        <w:ind w:start="720"/>
        <w:rPr>
          <w:rFonts w:ascii="Consolas" w:hAnsi="Consolas"/>
          <w:color w:themeColor="text1" w:val="000000"/>
          <w:sz w:val="23"/>
          <w:szCs w:val="23"/>
        </w:rPr>
      </w:pPr>
      <w:r>
        <w:rPr>
          <w:rFonts w:ascii="Consolas" w:hAnsi="Consolas"/>
          <w:color w:themeColor="text1" w:val="000000"/>
          <w:sz w:val="23"/>
          <w:szCs w:val="23"/>
        </w:rPr>
        <w:t>Sum= SUM(&lt;column&gt;)</w:t>
      </w:r>
    </w:p>
    <w:p>
      <w:pPr>
        <w:pStyle w:val="Normal"/>
        <w:ind w:start="720"/>
        <w:rPr>
          <w:rFonts w:cs="Calibri" w:cstheme="minorHAnsi"/>
          <w:color w:themeColor="text1" w:val="000000"/>
          <w:sz w:val="24"/>
          <w:szCs w:val="24"/>
        </w:rPr>
      </w:pPr>
      <w:r>
        <w:rPr>
          <w:rFonts w:cs="Calibri" w:cstheme="minorHAnsi"/>
          <w:color w:themeColor="text1" w:val="000000"/>
          <w:sz w:val="24"/>
          <w:szCs w:val="24"/>
        </w:rPr>
        <w:t>Example: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Bank Deposit = 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24"/>
          <w:szCs w:val="24"/>
          <w:lang w:eastAsia="en-IN"/>
        </w:rPr>
        <w:t>'Clients - Banking'[Bank Deposits]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3165BB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themeColor="text1" w:val="000000"/>
          <w:sz w:val="24"/>
          <w:szCs w:val="24"/>
          <w:lang w:eastAsia="en-IN"/>
        </w:rPr>
        <w:t>DistinctCount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  <w:t>Counts the number of distinct values in a column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  <w:t>Syntax: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  <w:t>DISTINCTCOUNT(&lt;column&gt;)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  <w:t>Example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themeColor="text1"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Total Clients = </w:t>
      </w: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  <w:t>DISTINCTCOUNT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24"/>
          <w:szCs w:val="24"/>
          <w:lang w:eastAsia="en-IN"/>
        </w:rPr>
        <w:t>'Clients - Banking'[Client ID]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Sumx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Syntax: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SUMX(&lt;table&gt;, &lt;expression&gt;)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Example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Total Fees = </w:t>
      </w:r>
      <w:r>
        <w:rPr>
          <w:rFonts w:eastAsia="Times New Roman" w:cs="Calibri" w:cstheme="minorHAnsi"/>
          <w:color w:val="3165BB"/>
          <w:sz w:val="24"/>
          <w:szCs w:val="24"/>
          <w:lang w:eastAsia="en-IN"/>
        </w:rPr>
        <w:t>SUMX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(</w:t>
      </w:r>
      <w:r>
        <w:rPr>
          <w:rFonts w:eastAsia="Times New Roman" w:cs="Calibri" w:cstheme="minorHAnsi"/>
          <w:color w:val="001080"/>
          <w:sz w:val="24"/>
          <w:szCs w:val="24"/>
          <w:lang w:eastAsia="en-IN"/>
        </w:rPr>
        <w:t>'Clients - Banking'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 , </w:t>
      </w:r>
      <w:r>
        <w:rPr>
          <w:rFonts w:eastAsia="Times New Roman" w:cs="Calibri" w:cstheme="minorHAnsi"/>
          <w:color w:val="68349C"/>
          <w:sz w:val="24"/>
          <w:szCs w:val="24"/>
          <w:lang w:eastAsia="en-IN"/>
        </w:rPr>
        <w:t>[Total Loan]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 * </w:t>
      </w:r>
      <w:r>
        <w:rPr>
          <w:rFonts w:eastAsia="Times New Roman" w:cs="Calibri" w:cstheme="minorHAnsi"/>
          <w:color w:val="001080"/>
          <w:sz w:val="24"/>
          <w:szCs w:val="24"/>
          <w:lang w:eastAsia="en-IN"/>
        </w:rPr>
        <w:t>'Clients - Banking'[Processing Fees]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Switch :</w:t>
      </w:r>
    </w:p>
    <w:p>
      <w:pPr>
        <w:pStyle w:val="Normal"/>
        <w:shd w:val="clear" w:color="auto" w:fill="FFFFFE"/>
        <w:spacing w:lineRule="atLeast" w:line="270" w:before="0" w:after="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Syntax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SWITCH(&lt;expression&gt;, &lt;value&gt;, &lt;result&gt;[, &lt;value&gt;, &lt;result&gt;]…[, &lt;else&gt;])</w:t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DATEDIFF :</w:t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Syntax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Example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Engagment Days = </w:t>
      </w:r>
      <w:r>
        <w:rPr>
          <w:rFonts w:eastAsia="Times New Roman" w:cs="Calibri" w:cstheme="minorHAnsi"/>
          <w:color w:val="3165BB"/>
          <w:sz w:val="24"/>
          <w:szCs w:val="24"/>
          <w:lang w:eastAsia="en-IN"/>
        </w:rPr>
        <w:t>DATEDIFF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(</w:t>
      </w:r>
      <w:r>
        <w:rPr>
          <w:rFonts w:eastAsia="Times New Roman" w:cs="Calibri" w:cstheme="minorHAnsi"/>
          <w:color w:val="001080"/>
          <w:sz w:val="24"/>
          <w:szCs w:val="24"/>
          <w:lang w:eastAsia="en-IN"/>
        </w:rPr>
        <w:t>'Clients - Banking'[Joined Bank]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,</w:t>
      </w:r>
      <w:r>
        <w:rPr>
          <w:rFonts w:eastAsia="Times New Roman" w:cs="Calibri" w:cstheme="minorHAnsi"/>
          <w:color w:val="3165BB"/>
          <w:sz w:val="24"/>
          <w:szCs w:val="24"/>
          <w:lang w:eastAsia="en-IN"/>
        </w:rPr>
        <w:t>TODAY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(), </w:t>
      </w:r>
      <w:r>
        <w:rPr>
          <w:rFonts w:eastAsia="Times New Roman" w:cs="Calibri" w:cstheme="minorHAnsi"/>
          <w:color w:val="3165BB"/>
          <w:sz w:val="24"/>
          <w:szCs w:val="24"/>
          <w:lang w:eastAsia="en-IN"/>
        </w:rPr>
        <w:t>DAY</w:t>
      </w: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Spacing"/>
        <w:spacing w:lineRule="auto" w:line="276"/>
        <w:jc w:val="both"/>
        <w:rPr>
          <w:rFonts w:cs="Calibri" w:cstheme="minorHAnsi"/>
          <w:b/>
          <w:color w:themeColor="text1" w:val="000000"/>
          <w:sz w:val="28"/>
          <w:szCs w:val="28"/>
        </w:rPr>
      </w:pPr>
      <w:r>
        <w:rPr>
          <w:rFonts w:cs="Calibri" w:cstheme="minorHAnsi"/>
          <w:b/>
          <w:color w:themeColor="text1" w:val="000000"/>
          <w:sz w:val="28"/>
          <w:szCs w:val="28"/>
        </w:rPr>
        <w:t xml:space="preserve">KPI’S: </w:t>
      </w:r>
    </w:p>
    <w:p>
      <w:pPr>
        <w:pStyle w:val="NoSpacing"/>
        <w:spacing w:lineRule="auto" w:line="276"/>
        <w:ind w:start="360"/>
        <w:jc w:val="both"/>
        <w:rPr>
          <w:rFonts w:cs="Calibri" w:cstheme="minorHAnsi"/>
          <w:b/>
          <w:color w:themeColor="text1" w:val="000000"/>
          <w:sz w:val="24"/>
          <w:szCs w:val="24"/>
        </w:rPr>
      </w:pPr>
      <w:r>
        <w:rPr>
          <w:rFonts w:cs="Calibri" w:cstheme="minorHAnsi"/>
          <w:b/>
          <w:color w:themeColor="text1" w:val="000000"/>
          <w:sz w:val="24"/>
          <w:szCs w:val="24"/>
        </w:rPr>
      </w:r>
    </w:p>
    <w:p>
      <w:pPr>
        <w:pStyle w:val="NoSpacing"/>
        <w:spacing w:lineRule="auto" w:line="276"/>
        <w:jc w:val="both"/>
        <w:rPr>
          <w:rFonts w:cs="Calibri" w:cstheme="minorHAnsi"/>
          <w:color w:themeColor="text1" w:val="000000"/>
          <w:sz w:val="24"/>
          <w:szCs w:val="24"/>
        </w:rPr>
      </w:pPr>
      <w:r>
        <w:rPr>
          <w:rFonts w:cs="Calibri" w:cstheme="minorHAnsi"/>
          <w:color w:themeColor="text1" w:val="000000"/>
          <w:sz w:val="24"/>
          <w:szCs w:val="24"/>
        </w:rPr>
        <w:t>In which followings KPIS are present :</w:t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 xml:space="preserve">Total Clients : </w:t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Total Clients = </w:t>
      </w: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  <w:t>DISTINCTCOUNT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24"/>
          <w:szCs w:val="24"/>
          <w:lang w:eastAsia="en-IN"/>
        </w:rPr>
        <w:t>'Clients - Banking'[Client ID]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/>
        <w:drawing>
          <wp:inline distT="0" distB="0" distL="0" distR="0">
            <wp:extent cx="2339340" cy="127254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Total Loan :</w:t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Total Loan gives you information about the bank loan + Business lending + credit cards balance of particular  investor , gender.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Total Loan = </w:t>
      </w:r>
      <w:r>
        <w:rPr>
          <w:rFonts w:eastAsia="Times New Roman" w:cs="Times New Roman" w:ascii="Consolas" w:hAnsi="Consolas"/>
          <w:color w:val="68349C"/>
          <w:sz w:val="24"/>
          <w:szCs w:val="24"/>
          <w:lang w:eastAsia="en-IN"/>
        </w:rPr>
        <w:t>[Bank Loan]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+ </w:t>
      </w:r>
      <w:r>
        <w:rPr>
          <w:rFonts w:eastAsia="Times New Roman" w:cs="Times New Roman" w:ascii="Consolas" w:hAnsi="Consolas"/>
          <w:color w:val="68349C"/>
          <w:sz w:val="24"/>
          <w:szCs w:val="24"/>
          <w:lang w:eastAsia="en-IN"/>
        </w:rPr>
        <w:t>[Business Lending]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+ </w:t>
      </w:r>
      <w:r>
        <w:rPr>
          <w:rFonts w:eastAsia="Times New Roman" w:cs="Times New Roman" w:ascii="Consolas" w:hAnsi="Consolas"/>
          <w:color w:val="68349C"/>
          <w:sz w:val="24"/>
          <w:szCs w:val="24"/>
          <w:lang w:eastAsia="en-IN"/>
        </w:rPr>
        <w:t>[Credit Cards Balance]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/>
        <w:drawing>
          <wp:inline distT="0" distB="0" distL="0" distR="0">
            <wp:extent cx="2346960" cy="1257300"/>
            <wp:effectExtent l="0" t="0" r="0" b="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Bank Loan :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24"/>
          <w:szCs w:val="24"/>
          <w:lang w:eastAsia="en-IN"/>
        </w:rPr>
      </w:pP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Bank Loan = </w:t>
      </w:r>
      <w:r>
        <w:rPr>
          <w:rFonts w:eastAsia="Times New Roman" w:cs="Times New Roman" w:ascii="Consolas" w:hAnsi="Consolas"/>
          <w:color w:val="3165BB"/>
          <w:sz w:val="24"/>
          <w:szCs w:val="24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24"/>
          <w:szCs w:val="24"/>
          <w:lang w:eastAsia="en-IN"/>
        </w:rPr>
        <w:t>'Clients - Banking'[Bank Loans]</w:t>
      </w:r>
      <w:r>
        <w:rPr>
          <w:rFonts w:eastAsia="Times New Roman" w:cs="Times New Roman" w:ascii="Consolas" w:hAnsi="Consolas"/>
          <w:color w:val="000000"/>
          <w:sz w:val="24"/>
          <w:szCs w:val="24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/>
        <w:drawing>
          <wp:inline distT="0" distB="0" distL="0" distR="0">
            <wp:extent cx="2156460" cy="1136015"/>
            <wp:effectExtent l="0" t="0" r="0" b="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E"/>
        <w:spacing w:lineRule="atLeast" w:line="270" w:before="0" w:after="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</w:r>
    </w:p>
    <w:p>
      <w:pPr>
        <w:pStyle w:val="Normal"/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b/>
          <w:bCs/>
          <w:color w:val="000000"/>
          <w:sz w:val="24"/>
          <w:szCs w:val="24"/>
          <w:lang w:eastAsia="en-IN"/>
        </w:rPr>
        <w:t>Business Lending :</w:t>
      </w:r>
    </w:p>
    <w:p>
      <w:pPr>
        <w:pStyle w:val="Normal"/>
        <w:ind w:start="720"/>
        <w:rPr>
          <w:rFonts w:eastAsia="Times New Roman" w:cs="Calibri" w:cstheme="minorHAnsi"/>
          <w:color w:val="000000"/>
          <w:sz w:val="24"/>
          <w:szCs w:val="24"/>
          <w:lang w:eastAsia="en-IN"/>
        </w:rPr>
      </w:pPr>
      <w:r>
        <w:rPr>
          <w:rFonts w:eastAsia="Times New Roman" w:cs="Calibri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Business Lending = </w:t>
      </w: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Banking'[Business Lending]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400300" cy="1280160"/>
            <wp:effectExtent l="0" t="0" r="0" b="0"/>
            <wp:docPr id="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Total Deposit gives you information about the amount deposited by particular investors in bank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Total Deposit = </w:t>
      </w:r>
      <w:r>
        <w:rPr>
          <w:rFonts w:eastAsia="Times New Roman" w:cs="Times New Roman" w:ascii="Consolas" w:hAnsi="Consolas"/>
          <w:color w:val="68349C"/>
          <w:sz w:val="18"/>
          <w:szCs w:val="18"/>
          <w:lang w:eastAsia="en-IN"/>
        </w:rPr>
        <w:t>[Bank Deposit]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+ </w:t>
      </w:r>
      <w:r>
        <w:rPr>
          <w:rFonts w:eastAsia="Times New Roman" w:cs="Times New Roman" w:ascii="Consolas" w:hAnsi="Consolas"/>
          <w:color w:val="68349C"/>
          <w:sz w:val="18"/>
          <w:szCs w:val="18"/>
          <w:lang w:eastAsia="en-IN"/>
        </w:rPr>
        <w:t>[Savings Account]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+ </w:t>
      </w:r>
      <w:r>
        <w:rPr>
          <w:rFonts w:eastAsia="Times New Roman" w:cs="Times New Roman" w:ascii="Consolas" w:hAnsi="Consolas"/>
          <w:color w:val="68349C"/>
          <w:sz w:val="18"/>
          <w:szCs w:val="18"/>
          <w:lang w:eastAsia="en-IN"/>
        </w:rPr>
        <w:t>[Foreign Currency Account]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+ </w:t>
      </w:r>
      <w:r>
        <w:rPr>
          <w:rFonts w:eastAsia="Times New Roman" w:cs="Times New Roman" w:ascii="Consolas" w:hAnsi="Consolas"/>
          <w:color w:val="68349C"/>
          <w:sz w:val="18"/>
          <w:szCs w:val="18"/>
          <w:lang w:eastAsia="en-IN"/>
        </w:rPr>
        <w:t>[Checking Accounts]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1935480" cy="1073785"/>
            <wp:effectExtent l="0" t="0" r="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07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Total Fees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Total Fees is nothing but the amount charged by the bank for account set-up , maintenance charges etc.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Total Fees = </w:t>
      </w: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SUMX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, </w:t>
      </w:r>
      <w:r>
        <w:rPr>
          <w:rFonts w:eastAsia="Times New Roman" w:cs="Times New Roman" w:ascii="Consolas" w:hAnsi="Consolas"/>
          <w:color w:val="68349C"/>
          <w:sz w:val="18"/>
          <w:szCs w:val="18"/>
          <w:lang w:eastAsia="en-IN"/>
        </w:rPr>
        <w:t>[Total Loan]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* 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Banking'[Processing Fees]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263140" cy="1310640"/>
            <wp:effectExtent l="0" t="0" r="0" b="0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Bank Deposit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Bank deposit is the money put in the bank.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Bank Deposit = 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Banking'[Bank Deposits]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232660" cy="1280160"/>
            <wp:effectExtent l="0" t="0" r="0" b="0"/>
            <wp:docPr id="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Checking Account Amount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Checking account amount  is nothing but which offers easy access to your money for daily transactional needs.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Checking Accounts = 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Banking'[Checking Accounts]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1949450" cy="1089660"/>
            <wp:effectExtent l="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Total CC Amount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Total CC Amount is a short-term source of financing for a company by a bank.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Total CC Amount = </w:t>
      </w: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Banking'[Amount of Credit Cards]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263140" cy="1242060"/>
            <wp:effectExtent l="0" t="0" r="0" b="0"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Saving Account Amount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A savings account is an interest-bearing deposit account held at a bank.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Savings Account = </w:t>
      </w: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Banking'[Saving Accounts]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 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332355" cy="1257300"/>
            <wp:effectExtent l="0" t="0" r="0" b="0"/>
            <wp:docPr id="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5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Foreign Currency Amount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Foreign Currency Account means an account held in a currency that is not the currency of India or Bhutan or Nepal.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Foreign Currency Account = 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Banking'[Foreign Currency Account]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 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301240" cy="1318260"/>
            <wp:effectExtent l="0" t="0" r="0" b="0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Engagement Account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Engagement Banking is nothing but puts the customer at the center and aims to deliver the digital experiences they expect.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Engagment Length = 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Banking'[Engagment Days]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2263140" cy="1242060"/>
            <wp:effectExtent l="0" t="0" r="0" b="0"/>
            <wp:docPr id="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Credit Cards Balance :</w:t>
      </w:r>
    </w:p>
    <w:p>
      <w:pPr>
        <w:pStyle w:val="Normal"/>
        <w:ind w:start="720"/>
        <w:rPr>
          <w:bCs/>
          <w:sz w:val="24"/>
          <w:szCs w:val="24"/>
        </w:rPr>
      </w:pPr>
      <w:r>
        <w:rPr>
          <w:bCs/>
          <w:sz w:val="24"/>
          <w:szCs w:val="24"/>
        </w:rPr>
        <w:t>It is the total amount of money currently owned by a cardholder to their credit card bank.</w:t>
      </w:r>
    </w:p>
    <w:p>
      <w:pPr>
        <w:pStyle w:val="Normal"/>
        <w:shd w:val="clear" w:color="auto" w:fill="FFFFFE"/>
        <w:spacing w:lineRule="atLeast" w:line="270" w:before="0" w:after="0"/>
        <w:ind w:start="720"/>
        <w:rPr>
          <w:rFonts w:ascii="Consolas" w:hAnsi="Consolas" w:eastAsia="Times New Roman" w:cs="Times New Roman"/>
          <w:color w:val="000000"/>
          <w:sz w:val="18"/>
          <w:szCs w:val="18"/>
          <w:lang w:eastAsia="en-IN"/>
        </w:rPr>
      </w:pP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Credit Cards Balance = </w:t>
      </w:r>
      <w:r>
        <w:rPr>
          <w:rFonts w:eastAsia="Times New Roman" w:cs="Times New Roman" w:ascii="Consolas" w:hAnsi="Consolas"/>
          <w:color w:val="3165BB"/>
          <w:sz w:val="18"/>
          <w:szCs w:val="18"/>
          <w:lang w:eastAsia="en-IN"/>
        </w:rPr>
        <w:t>SUM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>(</w:t>
      </w:r>
      <w:r>
        <w:rPr>
          <w:rFonts w:eastAsia="Times New Roman" w:cs="Times New Roman" w:ascii="Consolas" w:hAnsi="Consolas"/>
          <w:color w:val="001080"/>
          <w:sz w:val="18"/>
          <w:szCs w:val="18"/>
          <w:lang w:eastAsia="en-IN"/>
        </w:rPr>
        <w:t>'Clients - Banking'[Credit Card Balance]</w:t>
      </w:r>
      <w:r>
        <w:rPr>
          <w:rFonts w:eastAsia="Times New Roman" w:cs="Times New Roman" w:ascii="Consolas" w:hAnsi="Consolas"/>
          <w:color w:val="000000"/>
          <w:sz w:val="18"/>
          <w:szCs w:val="18"/>
          <w:lang w:eastAsia="en-IN"/>
        </w:rPr>
        <w:t xml:space="preserve"> )</w:t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/>
        <w:drawing>
          <wp:inline distT="0" distB="0" distL="0" distR="0">
            <wp:extent cx="1813560" cy="1028700"/>
            <wp:effectExtent l="0" t="0" r="0" b="0"/>
            <wp:docPr id="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>
      <w:pPr>
        <w:pStyle w:val="Normal"/>
        <w:rPr>
          <w:b/>
          <w:sz w:val="28"/>
          <w:szCs w:val="28"/>
        </w:rPr>
      </w:pPr>
      <w:r>
        <w:rPr/>
        <w:drawing>
          <wp:inline distT="0" distB="0" distL="0" distR="0">
            <wp:extent cx="5731510" cy="2932430"/>
            <wp:effectExtent l="0" t="0" r="0" b="0"/>
            <wp:docPr id="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>
      <w:pPr>
        <w:pStyle w:val="Normal"/>
        <w:rPr>
          <w:b/>
          <w:sz w:val="28"/>
          <w:szCs w:val="28"/>
        </w:rPr>
      </w:pPr>
      <w:r>
        <w:rPr/>
        <w:drawing>
          <wp:inline distT="0" distB="0" distL="0" distR="0">
            <wp:extent cx="5731510" cy="2924810"/>
            <wp:effectExtent l="0" t="0" r="0" b="0"/>
            <wp:docPr id="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>
      <w:pPr>
        <w:pStyle w:val="Normal"/>
        <w:rPr>
          <w:b/>
          <w:sz w:val="28"/>
          <w:szCs w:val="28"/>
        </w:rPr>
      </w:pPr>
      <w:r>
        <w:rPr/>
        <w:drawing>
          <wp:inline distT="0" distB="0" distL="0" distR="0">
            <wp:extent cx="5731510" cy="2919095"/>
            <wp:effectExtent l="0" t="0" r="0" b="0"/>
            <wp:docPr id="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>
      <w:pPr>
        <w:pStyle w:val="Normal"/>
        <w:rPr>
          <w:b/>
          <w:sz w:val="28"/>
          <w:szCs w:val="28"/>
        </w:rPr>
      </w:pPr>
      <w:r>
        <w:rPr/>
        <w:drawing>
          <wp:inline distT="0" distB="0" distL="0" distR="0">
            <wp:extent cx="5731510" cy="2887980"/>
            <wp:effectExtent l="0" t="0" r="0" b="0"/>
            <wp:docPr id="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Recommendations based on Dashboard:-</w:t>
      </w:r>
    </w:p>
    <w:p>
      <w:pPr>
        <w:pStyle w:val="NoSpacing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Prioritize loan approvals for low-risk client segments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, as customers with </w:t>
      </w: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engagement tenure &gt;3 years show 25–30% lower default risk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 and higher repayment consistency.</w:t>
      </w:r>
    </w:p>
    <w:p>
      <w:pPr>
        <w:pStyle w:val="NoSpacing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Increase focus on mid-income applicants (₹100K–₹300K income band)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, who contribute to </w:t>
      </w: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45% of total loan volume while maintaining healthier deposit-to-loan ratios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>.</w:t>
      </w:r>
    </w:p>
    <w:p>
      <w:pPr>
        <w:pStyle w:val="NoSpacing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Expand private banking product offerings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, as </w:t>
      </w: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private banks account for 60% of total clients and generate 35% higher fee revenue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 compared to public banks.</w:t>
      </w:r>
    </w:p>
    <w:p>
      <w:pPr>
        <w:pStyle w:val="NoSpacing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Cross-sell deposit products to high-loan customers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, since clients with active savings and checking accounts hold </w:t>
      </w: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40% higher total deposits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>, improving liquidity and risk coverage.</w:t>
      </w:r>
    </w:p>
    <w:p>
      <w:pPr>
        <w:pStyle w:val="NoSpacing"/>
        <w:numPr>
          <w:ilvl w:val="0"/>
          <w:numId w:val="1"/>
        </w:numPr>
        <w:spacing w:lineRule="auto" w:line="276"/>
        <w:jc w:val="both"/>
        <w:rPr/>
      </w:pP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Target high-fee, high-loan portfolios with optimized processing fees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 xml:space="preserve">, as a </w:t>
      </w:r>
      <w:r>
        <w:rPr>
          <w:rStyle w:val="Strong"/>
          <w:rFonts w:cs="Calibri" w:cstheme="minorHAnsi"/>
          <w:b w:val="false"/>
          <w:bCs w:val="false"/>
          <w:color w:themeColor="text1" w:val="000000"/>
          <w:sz w:val="24"/>
          <w:szCs w:val="24"/>
        </w:rPr>
        <w:t>5% processing fee on total loans contributes 15–20% of non-interest revenue</w:t>
      </w:r>
      <w:r>
        <w:rPr>
          <w:rFonts w:cs="Calibri" w:cstheme="minorHAnsi"/>
          <w:b w:val="false"/>
          <w:bCs w:val="false"/>
          <w:color w:themeColor="text1" w:val="000000"/>
          <w:sz w:val="24"/>
          <w:szCs w:val="24"/>
        </w:rPr>
        <w:t>, strengthening profitability without increasing credit exposure.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Conclusion –</w:t>
      </w:r>
    </w:p>
    <w:p>
      <w:pPr>
        <w:pStyle w:val="NoSpacing"/>
        <w:spacing w:lineRule="auto" w:line="276"/>
        <w:jc w:val="both"/>
        <w:rPr>
          <w:rFonts w:cs="Calibri" w:cstheme="minorHAnsi"/>
          <w:color w:themeColor="text1" w:val="000000"/>
          <w:sz w:val="24"/>
          <w:szCs w:val="24"/>
        </w:rPr>
      </w:pPr>
      <w:r>
        <w:rPr>
          <w:rFonts w:cs="Calibri" w:cstheme="minorHAnsi"/>
          <w:color w:themeColor="text1" w:val="000000"/>
          <w:sz w:val="24"/>
          <w:szCs w:val="24"/>
        </w:rPr>
        <w:t>Empowered by the latest data visualization techniques, Power BI dashboards are among the most effective resources for using in banking sector. As outlined in this write-up, a banking  operations dashboard in Power BI can be developed with key banking related metrics and KPIs.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/>
      </w:r>
    </w:p>
    <w:p>
      <w:pPr>
        <w:pStyle w:val="Normal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star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headerReference w:type="even" r:id="rId23"/>
      <w:headerReference w:type="default" r:id="rId24"/>
      <w:headerReference w:type="first" r:id="rId25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b105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b105e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b438ce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LibreOffice/25.8.3.2$Windows_X86_64 LibreOffice_project/8ca8d55c161d602844f5428fa4b58097424e324e</Application>
  <AppVersion>15.0000</AppVersion>
  <Pages>12</Pages>
  <Words>934</Words>
  <Characters>5110</Characters>
  <CharactersWithSpaces>5961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2022-08-21T14:11:00Z</dcterms:created>
  <dc:creator>Prathyusha Beesa</dc:creator>
  <dc:description/>
  <dc:language>en-US</dc:language>
  <cp:lastModifiedBy/>
  <dcterms:modified xsi:type="dcterms:W3CDTF">2025-12-26T13:40:41Z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