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media/image21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Banking Dashboard</w:t>
      </w:r>
    </w:p>
    <w:p>
      <w:pPr>
        <w:pStyle w:val="Normal"/>
        <w:rPr>
          <w:highlight w:val="none"/>
          <w:shd w:fill="FFFFFF" w:val="clear"/>
        </w:rPr>
      </w:pPr>
      <w:r>
        <w:rPr>
          <w:b/>
          <w:bCs/>
          <w:sz w:val="28"/>
          <w:szCs w:val="28"/>
          <w:shd w:fill="FFFFFF" w:val="clear"/>
        </w:rPr>
        <w:t>Problem Statement –</w:t>
      </w:r>
    </w:p>
    <w:p>
      <w:pPr>
        <w:pStyle w:val="Normal"/>
        <w:rPr>
          <w:highlight w:val="none"/>
          <w:shd w:fill="FFFFFF" w:val="clear"/>
        </w:rPr>
      </w:pPr>
      <w:r>
        <w:rPr>
          <w:sz w:val="24"/>
          <w:szCs w:val="24"/>
          <w:shd w:fill="FFFFFF" w:val="clear"/>
        </w:rPr>
        <w:t>Develop a basic understanding of risk analytics in banking and financial services and understand how data is used to minimise the risk of losing money while lending to customers.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Solution –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With our dashboards which are created using Power BI latest tools helps the company to make a decision based on the applicant’s profile like if the applicant is likely to repay the loan then approving the loan otherwise not.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About Dataset – </w:t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  <w:t>This dataset basically contains information about bank details ,various client details which consists of multiple tables which are interlinked with each other t</w:t>
      </w:r>
      <w:bookmarkStart w:id="0" w:name="_GoBack"/>
      <w:bookmarkEnd w:id="0"/>
      <w:r>
        <w:rPr>
          <w:bCs/>
          <w:sz w:val="24"/>
          <w:szCs w:val="24"/>
        </w:rPr>
        <w:t>hrough keys like primary key and foreign key.</w:t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  <w:t>The various tables are Banking Relationship, Client-Banking, Gender, Investment Advisor and Period.</w:t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>Data Cleaning –</w:t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  <w:t>Creating a new column Engagement Timeframe in client-banking column which tells about the time line of the clients in banks</w:t>
      </w:r>
    </w:p>
    <w:p>
      <w:pPr>
        <w:pStyle w:val="Normal"/>
        <w:rPr>
          <w:bCs/>
          <w:sz w:val="24"/>
          <w:szCs w:val="24"/>
        </w:rPr>
      </w:pPr>
      <w:r>
        <w:rPr/>
        <w:drawing>
          <wp:inline distT="0" distB="0" distL="0" distR="0">
            <wp:extent cx="5731510" cy="2148840"/>
            <wp:effectExtent l="0" t="0" r="0" b="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8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  <w:t>Creating a new column Engagment Days in Client-Banking table how many days the client spent from the date of joining in banks</w:t>
      </w:r>
    </w:p>
    <w:p>
      <w:pPr>
        <w:pStyle w:val="Normal"/>
        <w:rPr>
          <w:bCs/>
          <w:sz w:val="24"/>
          <w:szCs w:val="24"/>
        </w:rPr>
      </w:pPr>
      <w:r>
        <w:rPr/>
        <w:drawing>
          <wp:inline distT="0" distB="0" distL="0" distR="0">
            <wp:extent cx="5159375" cy="3070860"/>
            <wp:effectExtent l="0" t="0" r="0" b="0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375" cy="3070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  <w:t>Creating bins for the Estimated Income &lt; 100000 as low and &lt;300000 as Mid with the column named as Income Band in Clients-Banking table.</w:t>
      </w:r>
    </w:p>
    <w:p>
      <w:pPr>
        <w:pStyle w:val="Normal"/>
        <w:rPr>
          <w:bCs/>
          <w:sz w:val="24"/>
          <w:szCs w:val="24"/>
        </w:rPr>
      </w:pPr>
      <w:r>
        <w:rPr/>
        <w:drawing>
          <wp:inline distT="0" distB="0" distL="0" distR="0">
            <wp:extent cx="5166360" cy="3726180"/>
            <wp:effectExtent l="0" t="0" r="0" b="0"/>
            <wp:docPr id="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6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3726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Cs/>
          <w:sz w:val="24"/>
          <w:szCs w:val="24"/>
        </w:rPr>
        <w:t xml:space="preserve"> </w:t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  <w:t>Creating a new column named as Processing Fees for the column Fee Structure like if fee structure is high then processing fee would be 0.05</w:t>
      </w:r>
    </w:p>
    <w:p>
      <w:pPr>
        <w:pStyle w:val="Normal"/>
        <w:rPr>
          <w:bCs/>
          <w:sz w:val="24"/>
          <w:szCs w:val="24"/>
        </w:rPr>
      </w:pPr>
      <w:r>
        <w:rPr/>
        <w:drawing>
          <wp:inline distT="0" distB="0" distL="0" distR="0">
            <wp:extent cx="4511675" cy="3749675"/>
            <wp:effectExtent l="0" t="0" r="0" b="0"/>
            <wp:docPr id="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675" cy="3749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Calculated Functions – </w:t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Sum : </w:t>
      </w:r>
    </w:p>
    <w:p>
      <w:pPr>
        <w:pStyle w:val="Normal"/>
        <w:ind w:start="720"/>
        <w:rPr>
          <w:bCs/>
          <w:sz w:val="28"/>
          <w:szCs w:val="28"/>
        </w:rPr>
      </w:pPr>
      <w:r>
        <w:rPr>
          <w:bCs/>
          <w:sz w:val="28"/>
          <w:szCs w:val="28"/>
        </w:rPr>
        <w:t>The power bi sum function will add all the numbers in a column and the column contains numbers to sum. It returns a decimal number.</w:t>
      </w:r>
    </w:p>
    <w:p>
      <w:pPr>
        <w:pStyle w:val="Normal"/>
        <w:ind w:start="720"/>
        <w:rPr>
          <w:b/>
          <w:sz w:val="28"/>
          <w:szCs w:val="28"/>
        </w:rPr>
      </w:pPr>
      <w:r>
        <w:rPr>
          <w:b/>
          <w:sz w:val="28"/>
          <w:szCs w:val="28"/>
        </w:rPr>
        <w:t>Syntax :</w:t>
      </w:r>
    </w:p>
    <w:p>
      <w:pPr>
        <w:pStyle w:val="Normal"/>
        <w:ind w:start="720"/>
        <w:rPr>
          <w:rFonts w:ascii="Consolas" w:hAnsi="Consolas"/>
          <w:color w:themeColor="text1" w:val="000000"/>
          <w:sz w:val="23"/>
          <w:szCs w:val="23"/>
        </w:rPr>
      </w:pPr>
      <w:r>
        <w:rPr>
          <w:rFonts w:ascii="Consolas" w:hAnsi="Consolas"/>
          <w:color w:themeColor="text1" w:val="000000"/>
          <w:sz w:val="23"/>
          <w:szCs w:val="23"/>
        </w:rPr>
        <w:t>Sum= SUM(&lt;column&gt;)</w:t>
      </w:r>
    </w:p>
    <w:p>
      <w:pPr>
        <w:pStyle w:val="Normal"/>
        <w:ind w:start="720"/>
        <w:rPr>
          <w:rFonts w:cs="Calibri" w:cstheme="minorHAnsi"/>
          <w:color w:themeColor="text1" w:val="000000"/>
          <w:sz w:val="24"/>
          <w:szCs w:val="24"/>
        </w:rPr>
      </w:pPr>
      <w:r>
        <w:rPr>
          <w:rFonts w:cs="Calibri" w:cstheme="minorHAnsi"/>
          <w:color w:themeColor="text1" w:val="000000"/>
          <w:sz w:val="24"/>
          <w:szCs w:val="24"/>
        </w:rPr>
        <w:t>Example: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  <w:t xml:space="preserve">Bank Deposit = 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3165BB"/>
          <w:sz w:val="24"/>
          <w:szCs w:val="24"/>
          <w:lang w:eastAsia="en-IN"/>
        </w:rPr>
        <w:t>SUM</w:t>
      </w: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  <w:t>(</w:t>
      </w:r>
      <w:r>
        <w:rPr>
          <w:rFonts w:eastAsia="Times New Roman" w:cs="Times New Roman" w:ascii="Consolas" w:hAnsi="Consolas"/>
          <w:color w:val="001080"/>
          <w:sz w:val="24"/>
          <w:szCs w:val="24"/>
          <w:lang w:eastAsia="en-IN"/>
        </w:rPr>
        <w:t>'Clients - Banking'[Bank Deposits]</w:t>
      </w: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  <w:t xml:space="preserve"> )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ascii="Consolas" w:hAnsi="Consolas" w:eastAsia="Times New Roman" w:cs="Times New Roman"/>
          <w:color w:val="3165BB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3165BB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ascii="Consolas" w:hAnsi="Consolas" w:eastAsia="Times New Roman" w:cs="Times New Roman"/>
          <w:color w:val="3165BB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3165BB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ascii="Consolas" w:hAnsi="Consolas" w:eastAsia="Times New Roman" w:cs="Times New Roman"/>
          <w:color w:val="3165BB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3165BB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ascii="Consolas" w:hAnsi="Consolas" w:eastAsia="Times New Roman" w:cs="Times New Roman"/>
          <w:color w:val="3165BB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3165BB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ascii="Consolas" w:hAnsi="Consolas" w:eastAsia="Times New Roman" w:cs="Times New Roman"/>
          <w:color w:val="3165BB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3165BB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ascii="Consolas" w:hAnsi="Consolas" w:eastAsia="Times New Roman" w:cs="Times New Roman"/>
          <w:color w:val="3165BB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3165BB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ascii="Consolas" w:hAnsi="Consolas" w:eastAsia="Times New Roman" w:cs="Times New Roman"/>
          <w:color w:val="3165BB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3165BB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themeColor="text1"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themeColor="text1" w:val="000000"/>
          <w:sz w:val="24"/>
          <w:szCs w:val="24"/>
          <w:lang w:eastAsia="en-IN"/>
        </w:rPr>
        <w:t>DistinctCount :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  <w:t>Counts the number of distinct values in a column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  <w:t>Syntax: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  <w:t>DISTINCTCOUNT(&lt;column&gt;)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  <w:t>Example :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themeColor="text1"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  <w:t xml:space="preserve">Total Clients = </w:t>
      </w:r>
      <w:r>
        <w:rPr>
          <w:rFonts w:eastAsia="Times New Roman" w:cs="Times New Roman" w:ascii="Consolas" w:hAnsi="Consolas"/>
          <w:color w:val="3165BB"/>
          <w:sz w:val="24"/>
          <w:szCs w:val="24"/>
          <w:lang w:eastAsia="en-IN"/>
        </w:rPr>
        <w:t>DISTINCTCOUNT</w:t>
      </w: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  <w:t>(</w:t>
      </w:r>
      <w:r>
        <w:rPr>
          <w:rFonts w:eastAsia="Times New Roman" w:cs="Times New Roman" w:ascii="Consolas" w:hAnsi="Consolas"/>
          <w:color w:val="001080"/>
          <w:sz w:val="24"/>
          <w:szCs w:val="24"/>
          <w:lang w:eastAsia="en-IN"/>
        </w:rPr>
        <w:t>'Clients - Banking'[Client ID]</w:t>
      </w: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  <w:t xml:space="preserve"> )</w:t>
      </w:r>
    </w:p>
    <w:p>
      <w:pPr>
        <w:pStyle w:val="Normal"/>
        <w:shd w:val="clear" w:color="auto" w:fill="FFFFFE"/>
        <w:spacing w:lineRule="atLeast" w:line="270" w:before="0" w:after="0"/>
        <w:rPr>
          <w:rFonts w:ascii="Consolas" w:hAnsi="Consolas" w:eastAsia="Times New Roman" w:cs="Times New Roman"/>
          <w:color w:val="000000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  <w:t>Sumx :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Returns the sum of an expression evaluated for each row in a table.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Syntax: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SUMX(&lt;table&gt;, &lt;expression&gt;)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Example :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 xml:space="preserve">Total Fees = </w:t>
      </w:r>
      <w:r>
        <w:rPr>
          <w:rFonts w:eastAsia="Times New Roman" w:cs="Calibri" w:cstheme="minorHAnsi"/>
          <w:color w:val="3165BB"/>
          <w:sz w:val="24"/>
          <w:szCs w:val="24"/>
          <w:lang w:eastAsia="en-IN"/>
        </w:rPr>
        <w:t>SUMX</w:t>
      </w: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(</w:t>
      </w:r>
      <w:r>
        <w:rPr>
          <w:rFonts w:eastAsia="Times New Roman" w:cs="Calibri" w:cstheme="minorHAnsi"/>
          <w:color w:val="001080"/>
          <w:sz w:val="24"/>
          <w:szCs w:val="24"/>
          <w:lang w:eastAsia="en-IN"/>
        </w:rPr>
        <w:t>'Clients - Banking'</w:t>
      </w: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 xml:space="preserve"> , </w:t>
      </w:r>
      <w:r>
        <w:rPr>
          <w:rFonts w:eastAsia="Times New Roman" w:cs="Calibri" w:cstheme="minorHAnsi"/>
          <w:color w:val="68349C"/>
          <w:sz w:val="24"/>
          <w:szCs w:val="24"/>
          <w:lang w:eastAsia="en-IN"/>
        </w:rPr>
        <w:t>[Total Loan]</w:t>
      </w: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 xml:space="preserve"> * </w:t>
      </w:r>
      <w:r>
        <w:rPr>
          <w:rFonts w:eastAsia="Times New Roman" w:cs="Calibri" w:cstheme="minorHAnsi"/>
          <w:color w:val="001080"/>
          <w:sz w:val="24"/>
          <w:szCs w:val="24"/>
          <w:lang w:eastAsia="en-IN"/>
        </w:rPr>
        <w:t>'Clients - Banking'[Processing Fees]</w:t>
      </w: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 xml:space="preserve"> )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  <w:t>Switch :</w:t>
      </w:r>
    </w:p>
    <w:p>
      <w:pPr>
        <w:pStyle w:val="Normal"/>
        <w:shd w:val="clear" w:color="auto" w:fill="FFFFFE"/>
        <w:spacing w:lineRule="atLeast" w:line="270" w:before="0" w:after="0"/>
        <w:rPr>
          <w:rFonts w:ascii="Consolas" w:hAnsi="Consolas" w:eastAsia="Times New Roman" w:cs="Times New Roman"/>
          <w:color w:val="000000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Evaluated an expression against a list of values and returns one of multiple possible result expressions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Syntax :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SWITCH(&lt;expression&gt;, &lt;value&gt;, &lt;result&gt;[, &lt;value&gt;, &lt;result&gt;]…[, &lt;else&gt;])</w:t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  <w:t>DATEDIFF :</w:t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Returns the number of interval boundaries between two dates.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Syntax :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DATEDIFF(&lt;Date1&gt;, &lt;Date2&gt;, &lt;Interval&gt;)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Example :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 xml:space="preserve">Engagment Days = </w:t>
      </w:r>
      <w:r>
        <w:rPr>
          <w:rFonts w:eastAsia="Times New Roman" w:cs="Calibri" w:cstheme="minorHAnsi"/>
          <w:color w:val="3165BB"/>
          <w:sz w:val="24"/>
          <w:szCs w:val="24"/>
          <w:lang w:eastAsia="en-IN"/>
        </w:rPr>
        <w:t>DATEDIFF</w:t>
      </w: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(</w:t>
      </w:r>
      <w:r>
        <w:rPr>
          <w:rFonts w:eastAsia="Times New Roman" w:cs="Calibri" w:cstheme="minorHAnsi"/>
          <w:color w:val="001080"/>
          <w:sz w:val="24"/>
          <w:szCs w:val="24"/>
          <w:lang w:eastAsia="en-IN"/>
        </w:rPr>
        <w:t>'Clients - Banking'[Joined Bank]</w:t>
      </w: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,</w:t>
      </w:r>
      <w:r>
        <w:rPr>
          <w:rFonts w:eastAsia="Times New Roman" w:cs="Calibri" w:cstheme="minorHAnsi"/>
          <w:color w:val="3165BB"/>
          <w:sz w:val="24"/>
          <w:szCs w:val="24"/>
          <w:lang w:eastAsia="en-IN"/>
        </w:rPr>
        <w:t>TODAY</w:t>
      </w: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 xml:space="preserve">(), </w:t>
      </w:r>
      <w:r>
        <w:rPr>
          <w:rFonts w:eastAsia="Times New Roman" w:cs="Calibri" w:cstheme="minorHAnsi"/>
          <w:color w:val="3165BB"/>
          <w:sz w:val="24"/>
          <w:szCs w:val="24"/>
          <w:lang w:eastAsia="en-IN"/>
        </w:rPr>
        <w:t>DAY</w:t>
      </w: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 xml:space="preserve"> )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Spacing"/>
        <w:spacing w:lineRule="auto" w:line="276"/>
        <w:jc w:val="both"/>
        <w:rPr>
          <w:rFonts w:cs="Calibri" w:cstheme="minorHAnsi"/>
          <w:b/>
          <w:color w:themeColor="text1" w:val="000000"/>
          <w:sz w:val="28"/>
          <w:szCs w:val="28"/>
        </w:rPr>
      </w:pPr>
      <w:r>
        <w:rPr>
          <w:rFonts w:cs="Calibri" w:cstheme="minorHAnsi"/>
          <w:b/>
          <w:color w:themeColor="text1" w:val="000000"/>
          <w:sz w:val="28"/>
          <w:szCs w:val="28"/>
        </w:rPr>
        <w:t xml:space="preserve">KPI’S: </w:t>
      </w:r>
    </w:p>
    <w:p>
      <w:pPr>
        <w:pStyle w:val="NoSpacing"/>
        <w:spacing w:lineRule="auto" w:line="276"/>
        <w:ind w:start="360"/>
        <w:jc w:val="both"/>
        <w:rPr>
          <w:rFonts w:cs="Calibri" w:cstheme="minorHAnsi"/>
          <w:b/>
          <w:color w:themeColor="text1" w:val="000000"/>
          <w:sz w:val="24"/>
          <w:szCs w:val="24"/>
        </w:rPr>
      </w:pPr>
      <w:r>
        <w:rPr>
          <w:rFonts w:cs="Calibri" w:cstheme="minorHAnsi"/>
          <w:b/>
          <w:color w:themeColor="text1" w:val="000000"/>
          <w:sz w:val="24"/>
          <w:szCs w:val="24"/>
        </w:rPr>
      </w:r>
    </w:p>
    <w:p>
      <w:pPr>
        <w:pStyle w:val="NoSpacing"/>
        <w:spacing w:lineRule="auto" w:line="276"/>
        <w:jc w:val="both"/>
        <w:rPr>
          <w:rFonts w:cs="Calibri" w:cstheme="minorHAnsi"/>
          <w:color w:themeColor="text1" w:val="000000"/>
          <w:sz w:val="24"/>
          <w:szCs w:val="24"/>
        </w:rPr>
      </w:pPr>
      <w:r>
        <w:rPr>
          <w:rFonts w:cs="Calibri" w:cstheme="minorHAnsi"/>
          <w:color w:themeColor="text1" w:val="000000"/>
          <w:sz w:val="24"/>
          <w:szCs w:val="24"/>
        </w:rPr>
        <w:t>In which followings KPIS are present :</w:t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  <w:t xml:space="preserve">Total Clients : </w:t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Total Clients KPI represents total number of clients in banking.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  <w:t xml:space="preserve">Total Clients = </w:t>
      </w:r>
      <w:r>
        <w:rPr>
          <w:rFonts w:eastAsia="Times New Roman" w:cs="Times New Roman" w:ascii="Consolas" w:hAnsi="Consolas"/>
          <w:color w:val="3165BB"/>
          <w:sz w:val="24"/>
          <w:szCs w:val="24"/>
          <w:lang w:eastAsia="en-IN"/>
        </w:rPr>
        <w:t>DISTINCTCOUNT</w:t>
      </w: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  <w:t>(</w:t>
      </w:r>
      <w:r>
        <w:rPr>
          <w:rFonts w:eastAsia="Times New Roman" w:cs="Times New Roman" w:ascii="Consolas" w:hAnsi="Consolas"/>
          <w:color w:val="001080"/>
          <w:sz w:val="24"/>
          <w:szCs w:val="24"/>
          <w:lang w:eastAsia="en-IN"/>
        </w:rPr>
        <w:t>'Clients - Banking'[Client ID]</w:t>
      </w: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  <w:t xml:space="preserve"> )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/>
        <w:drawing>
          <wp:inline distT="0" distB="0" distL="0" distR="0">
            <wp:extent cx="2339340" cy="1272540"/>
            <wp:effectExtent l="0" t="0" r="0" b="0"/>
            <wp:docPr id="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340" cy="1272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  <w:t>Total Loan :</w:t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Total Loan gives you information about the bank loan + Business lending + credit cards balance of particular  investor , gender.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  <w:t xml:space="preserve">Total Loan = </w:t>
      </w:r>
      <w:r>
        <w:rPr>
          <w:rFonts w:eastAsia="Times New Roman" w:cs="Times New Roman" w:ascii="Consolas" w:hAnsi="Consolas"/>
          <w:color w:val="68349C"/>
          <w:sz w:val="24"/>
          <w:szCs w:val="24"/>
          <w:lang w:eastAsia="en-IN"/>
        </w:rPr>
        <w:t>[Bank Loan]</w:t>
      </w: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  <w:t xml:space="preserve"> + </w:t>
      </w:r>
      <w:r>
        <w:rPr>
          <w:rFonts w:eastAsia="Times New Roman" w:cs="Times New Roman" w:ascii="Consolas" w:hAnsi="Consolas"/>
          <w:color w:val="68349C"/>
          <w:sz w:val="24"/>
          <w:szCs w:val="24"/>
          <w:lang w:eastAsia="en-IN"/>
        </w:rPr>
        <w:t>[Business Lending]</w:t>
      </w: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  <w:t xml:space="preserve"> + </w:t>
      </w:r>
      <w:r>
        <w:rPr>
          <w:rFonts w:eastAsia="Times New Roman" w:cs="Times New Roman" w:ascii="Consolas" w:hAnsi="Consolas"/>
          <w:color w:val="68349C"/>
          <w:sz w:val="24"/>
          <w:szCs w:val="24"/>
          <w:lang w:eastAsia="en-IN"/>
        </w:rPr>
        <w:t>[Credit Cards Balance]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/>
        <w:drawing>
          <wp:inline distT="0" distB="0" distL="0" distR="0">
            <wp:extent cx="2346960" cy="1257300"/>
            <wp:effectExtent l="0" t="0" r="0" b="0"/>
            <wp:docPr id="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9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960" cy="125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  <w:t>Bank Loan :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Bank Loan gives you information what is the loan amount of loan to be repaid by the client to bank.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24"/>
          <w:szCs w:val="24"/>
          <w:lang w:eastAsia="en-IN"/>
        </w:rPr>
      </w:pP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  <w:t xml:space="preserve">Bank Loan = </w:t>
      </w:r>
      <w:r>
        <w:rPr>
          <w:rFonts w:eastAsia="Times New Roman" w:cs="Times New Roman" w:ascii="Consolas" w:hAnsi="Consolas"/>
          <w:color w:val="3165BB"/>
          <w:sz w:val="24"/>
          <w:szCs w:val="24"/>
          <w:lang w:eastAsia="en-IN"/>
        </w:rPr>
        <w:t>SUM</w:t>
      </w: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  <w:t>(</w:t>
      </w:r>
      <w:r>
        <w:rPr>
          <w:rFonts w:eastAsia="Times New Roman" w:cs="Times New Roman" w:ascii="Consolas" w:hAnsi="Consolas"/>
          <w:color w:val="001080"/>
          <w:sz w:val="24"/>
          <w:szCs w:val="24"/>
          <w:lang w:eastAsia="en-IN"/>
        </w:rPr>
        <w:t>'Clients - Banking'[Bank Loans]</w:t>
      </w:r>
      <w:r>
        <w:rPr>
          <w:rFonts w:eastAsia="Times New Roman" w:cs="Times New Roman" w:ascii="Consolas" w:hAnsi="Consolas"/>
          <w:color w:val="000000"/>
          <w:sz w:val="24"/>
          <w:szCs w:val="24"/>
          <w:lang w:eastAsia="en-IN"/>
        </w:rPr>
        <w:t xml:space="preserve"> )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/>
        <w:drawing>
          <wp:inline distT="0" distB="0" distL="0" distR="0">
            <wp:extent cx="2156460" cy="1136015"/>
            <wp:effectExtent l="0" t="0" r="0" b="0"/>
            <wp:docPr id="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460" cy="1136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hd w:val="clear" w:color="auto" w:fill="FFFFFE"/>
        <w:spacing w:lineRule="atLeast" w:line="270" w:before="0" w:after="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</w:r>
    </w:p>
    <w:p>
      <w:pPr>
        <w:pStyle w:val="Normal"/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b/>
          <w:bCs/>
          <w:color w:val="000000"/>
          <w:sz w:val="24"/>
          <w:szCs w:val="24"/>
          <w:lang w:eastAsia="en-IN"/>
        </w:rPr>
        <w:t>Business Lending :</w:t>
      </w:r>
    </w:p>
    <w:p>
      <w:pPr>
        <w:pStyle w:val="Normal"/>
        <w:ind w:start="720"/>
        <w:rPr>
          <w:rFonts w:eastAsia="Times New Roman" w:cs="Calibri" w:cstheme="minorHAnsi"/>
          <w:color w:val="000000"/>
          <w:sz w:val="24"/>
          <w:szCs w:val="24"/>
          <w:lang w:eastAsia="en-IN"/>
        </w:rPr>
      </w:pPr>
      <w:r>
        <w:rPr>
          <w:rFonts w:eastAsia="Times New Roman" w:cs="Calibri" w:cstheme="minorHAnsi"/>
          <w:color w:val="000000"/>
          <w:sz w:val="24"/>
          <w:szCs w:val="24"/>
          <w:lang w:eastAsia="en-IN"/>
        </w:rPr>
        <w:t>Business lending gives you information about the loan amount given to small business.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18"/>
          <w:szCs w:val="18"/>
          <w:lang w:eastAsia="en-IN"/>
        </w:rPr>
      </w:pP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Business Lending = </w:t>
      </w:r>
      <w:r>
        <w:rPr>
          <w:rFonts w:eastAsia="Times New Roman" w:cs="Times New Roman" w:ascii="Consolas" w:hAnsi="Consolas"/>
          <w:color w:val="3165BB"/>
          <w:sz w:val="18"/>
          <w:szCs w:val="18"/>
          <w:lang w:eastAsia="en-IN"/>
        </w:rPr>
        <w:t>SUM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>(</w:t>
      </w:r>
      <w:r>
        <w:rPr>
          <w:rFonts w:eastAsia="Times New Roman" w:cs="Times New Roman" w:ascii="Consolas" w:hAnsi="Consolas"/>
          <w:color w:val="001080"/>
          <w:sz w:val="18"/>
          <w:szCs w:val="18"/>
          <w:lang w:eastAsia="en-IN"/>
        </w:rPr>
        <w:t>'Clients - Banking'[Business Lending]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 )</w:t>
      </w:r>
    </w:p>
    <w:p>
      <w:pPr>
        <w:pStyle w:val="Normal"/>
        <w:ind w:start="720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ind w:start="720"/>
        <w:rPr>
          <w:b/>
          <w:sz w:val="28"/>
          <w:szCs w:val="28"/>
        </w:rPr>
      </w:pPr>
      <w:r>
        <w:rPr/>
        <w:drawing>
          <wp:inline distT="0" distB="0" distL="0" distR="0">
            <wp:extent cx="2400300" cy="1280160"/>
            <wp:effectExtent l="0" t="0" r="0" b="0"/>
            <wp:docPr id="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280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start="720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Total Deposit </w:t>
      </w:r>
    </w:p>
    <w:p>
      <w:pPr>
        <w:pStyle w:val="Normal"/>
        <w:ind w:start="720"/>
        <w:rPr>
          <w:bCs/>
          <w:sz w:val="24"/>
          <w:szCs w:val="24"/>
        </w:rPr>
      </w:pPr>
      <w:r>
        <w:rPr>
          <w:bCs/>
          <w:sz w:val="24"/>
          <w:szCs w:val="24"/>
        </w:rPr>
        <w:t>Total Deposit gives you information about the amount deposited by particular investors in bank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18"/>
          <w:szCs w:val="18"/>
          <w:lang w:eastAsia="en-IN"/>
        </w:rPr>
      </w:pP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Total Deposit = </w:t>
      </w:r>
      <w:r>
        <w:rPr>
          <w:rFonts w:eastAsia="Times New Roman" w:cs="Times New Roman" w:ascii="Consolas" w:hAnsi="Consolas"/>
          <w:color w:val="68349C"/>
          <w:sz w:val="18"/>
          <w:szCs w:val="18"/>
          <w:lang w:eastAsia="en-IN"/>
        </w:rPr>
        <w:t>[Bank Deposit]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 + </w:t>
      </w:r>
      <w:r>
        <w:rPr>
          <w:rFonts w:eastAsia="Times New Roman" w:cs="Times New Roman" w:ascii="Consolas" w:hAnsi="Consolas"/>
          <w:color w:val="68349C"/>
          <w:sz w:val="18"/>
          <w:szCs w:val="18"/>
          <w:lang w:eastAsia="en-IN"/>
        </w:rPr>
        <w:t>[Savings Account]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 + </w:t>
      </w:r>
      <w:r>
        <w:rPr>
          <w:rFonts w:eastAsia="Times New Roman" w:cs="Times New Roman" w:ascii="Consolas" w:hAnsi="Consolas"/>
          <w:color w:val="68349C"/>
          <w:sz w:val="18"/>
          <w:szCs w:val="18"/>
          <w:lang w:eastAsia="en-IN"/>
        </w:rPr>
        <w:t>[Foreign Currency Account]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 + </w:t>
      </w:r>
      <w:r>
        <w:rPr>
          <w:rFonts w:eastAsia="Times New Roman" w:cs="Times New Roman" w:ascii="Consolas" w:hAnsi="Consolas"/>
          <w:color w:val="68349C"/>
          <w:sz w:val="18"/>
          <w:szCs w:val="18"/>
          <w:lang w:eastAsia="en-IN"/>
        </w:rPr>
        <w:t>[Checking Accounts]</w:t>
      </w:r>
    </w:p>
    <w:p>
      <w:pPr>
        <w:pStyle w:val="Normal"/>
        <w:ind w:start="720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ind w:start="720"/>
        <w:rPr>
          <w:b/>
          <w:sz w:val="28"/>
          <w:szCs w:val="28"/>
        </w:rPr>
      </w:pPr>
      <w:r>
        <w:rPr/>
        <w:drawing>
          <wp:inline distT="0" distB="0" distL="0" distR="0">
            <wp:extent cx="1935480" cy="1073785"/>
            <wp:effectExtent l="0" t="0" r="0" b="0"/>
            <wp:docPr id="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480" cy="1073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start="720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ind w:start="720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>Total Fees :</w:t>
      </w:r>
    </w:p>
    <w:p>
      <w:pPr>
        <w:pStyle w:val="Normal"/>
        <w:ind w:start="720"/>
        <w:rPr>
          <w:bCs/>
          <w:sz w:val="24"/>
          <w:szCs w:val="24"/>
        </w:rPr>
      </w:pPr>
      <w:r>
        <w:rPr>
          <w:bCs/>
          <w:sz w:val="24"/>
          <w:szCs w:val="24"/>
        </w:rPr>
        <w:t>Total Fees is nothing but the amount charged by the bank for account set-up , maintenance charges etc.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18"/>
          <w:szCs w:val="18"/>
          <w:lang w:eastAsia="en-IN"/>
        </w:rPr>
      </w:pP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Total Fees = </w:t>
      </w:r>
      <w:r>
        <w:rPr>
          <w:rFonts w:eastAsia="Times New Roman" w:cs="Times New Roman" w:ascii="Consolas" w:hAnsi="Consolas"/>
          <w:color w:val="3165BB"/>
          <w:sz w:val="18"/>
          <w:szCs w:val="18"/>
          <w:lang w:eastAsia="en-IN"/>
        </w:rPr>
        <w:t>SUMX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>(</w:t>
      </w:r>
      <w:r>
        <w:rPr>
          <w:rFonts w:eastAsia="Times New Roman" w:cs="Times New Roman" w:ascii="Consolas" w:hAnsi="Consolas"/>
          <w:color w:val="001080"/>
          <w:sz w:val="18"/>
          <w:szCs w:val="18"/>
          <w:lang w:eastAsia="en-IN"/>
        </w:rPr>
        <w:t>'Clients - Banking'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 , </w:t>
      </w:r>
      <w:r>
        <w:rPr>
          <w:rFonts w:eastAsia="Times New Roman" w:cs="Times New Roman" w:ascii="Consolas" w:hAnsi="Consolas"/>
          <w:color w:val="68349C"/>
          <w:sz w:val="18"/>
          <w:szCs w:val="18"/>
          <w:lang w:eastAsia="en-IN"/>
        </w:rPr>
        <w:t>[Total Loan]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 * </w:t>
      </w:r>
      <w:r>
        <w:rPr>
          <w:rFonts w:eastAsia="Times New Roman" w:cs="Times New Roman" w:ascii="Consolas" w:hAnsi="Consolas"/>
          <w:color w:val="001080"/>
          <w:sz w:val="18"/>
          <w:szCs w:val="18"/>
          <w:lang w:eastAsia="en-IN"/>
        </w:rPr>
        <w:t>'Clients - Banking'[Processing Fees]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 )</w:t>
      </w:r>
    </w:p>
    <w:p>
      <w:pPr>
        <w:pStyle w:val="Normal"/>
        <w:ind w:start="720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ind w:start="720"/>
        <w:rPr>
          <w:b/>
          <w:sz w:val="28"/>
          <w:szCs w:val="28"/>
        </w:rPr>
      </w:pPr>
      <w:r>
        <w:rPr/>
        <w:drawing>
          <wp:inline distT="0" distB="0" distL="0" distR="0">
            <wp:extent cx="2263140" cy="1310640"/>
            <wp:effectExtent l="0" t="0" r="0" b="0"/>
            <wp:docPr id="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140" cy="1310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>Bank Deposit :</w:t>
      </w:r>
    </w:p>
    <w:p>
      <w:pPr>
        <w:pStyle w:val="Normal"/>
        <w:ind w:start="720"/>
        <w:rPr>
          <w:bCs/>
          <w:sz w:val="24"/>
          <w:szCs w:val="24"/>
        </w:rPr>
      </w:pPr>
      <w:r>
        <w:rPr>
          <w:bCs/>
          <w:sz w:val="24"/>
          <w:szCs w:val="24"/>
        </w:rPr>
        <w:t>Bank deposit is the money put in the bank.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18"/>
          <w:szCs w:val="18"/>
          <w:lang w:eastAsia="en-IN"/>
        </w:rPr>
      </w:pP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Bank Deposit = 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18"/>
          <w:szCs w:val="18"/>
          <w:lang w:eastAsia="en-IN"/>
        </w:rPr>
      </w:pPr>
      <w:r>
        <w:rPr>
          <w:rFonts w:eastAsia="Times New Roman" w:cs="Times New Roman" w:ascii="Consolas" w:hAnsi="Consolas"/>
          <w:color w:val="3165BB"/>
          <w:sz w:val="18"/>
          <w:szCs w:val="18"/>
          <w:lang w:eastAsia="en-IN"/>
        </w:rPr>
        <w:t>SUM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>(</w:t>
      </w:r>
      <w:r>
        <w:rPr>
          <w:rFonts w:eastAsia="Times New Roman" w:cs="Times New Roman" w:ascii="Consolas" w:hAnsi="Consolas"/>
          <w:color w:val="001080"/>
          <w:sz w:val="18"/>
          <w:szCs w:val="18"/>
          <w:lang w:eastAsia="en-IN"/>
        </w:rPr>
        <w:t>'Clients - Banking'[Bank Deposits]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 )</w:t>
      </w:r>
    </w:p>
    <w:p>
      <w:pPr>
        <w:pStyle w:val="Normal"/>
        <w:ind w:start="720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ind w:start="720"/>
        <w:rPr>
          <w:b/>
          <w:sz w:val="28"/>
          <w:szCs w:val="28"/>
        </w:rPr>
      </w:pPr>
      <w:r>
        <w:rPr/>
        <w:drawing>
          <wp:inline distT="0" distB="0" distL="0" distR="0">
            <wp:extent cx="2232660" cy="1280160"/>
            <wp:effectExtent l="0" t="0" r="0" b="0"/>
            <wp:docPr id="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660" cy="1280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>Checking Account Amount :</w:t>
      </w:r>
    </w:p>
    <w:p>
      <w:pPr>
        <w:pStyle w:val="Normal"/>
        <w:ind w:start="720"/>
        <w:rPr>
          <w:bCs/>
          <w:sz w:val="24"/>
          <w:szCs w:val="24"/>
        </w:rPr>
      </w:pPr>
      <w:r>
        <w:rPr>
          <w:bCs/>
          <w:sz w:val="24"/>
          <w:szCs w:val="24"/>
        </w:rPr>
        <w:t>Checking account amount  is nothing but which offers easy access to your money for daily transactional needs.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18"/>
          <w:szCs w:val="18"/>
          <w:lang w:eastAsia="en-IN"/>
        </w:rPr>
      </w:pP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Checking Accounts = 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18"/>
          <w:szCs w:val="18"/>
          <w:lang w:eastAsia="en-IN"/>
        </w:rPr>
      </w:pPr>
      <w:r>
        <w:rPr>
          <w:rFonts w:eastAsia="Times New Roman" w:cs="Times New Roman" w:ascii="Consolas" w:hAnsi="Consolas"/>
          <w:color w:val="3165BB"/>
          <w:sz w:val="18"/>
          <w:szCs w:val="18"/>
          <w:lang w:eastAsia="en-IN"/>
        </w:rPr>
        <w:t>SUM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>(</w:t>
      </w:r>
      <w:r>
        <w:rPr>
          <w:rFonts w:eastAsia="Times New Roman" w:cs="Times New Roman" w:ascii="Consolas" w:hAnsi="Consolas"/>
          <w:color w:val="001080"/>
          <w:sz w:val="18"/>
          <w:szCs w:val="18"/>
          <w:lang w:eastAsia="en-IN"/>
        </w:rPr>
        <w:t>'Clients - Banking'[Checking Accounts]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 )</w:t>
      </w:r>
    </w:p>
    <w:p>
      <w:pPr>
        <w:pStyle w:val="Normal"/>
        <w:ind w:start="720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ind w:start="720"/>
        <w:rPr>
          <w:b/>
          <w:sz w:val="28"/>
          <w:szCs w:val="28"/>
        </w:rPr>
      </w:pPr>
      <w:r>
        <w:rPr/>
        <w:drawing>
          <wp:inline distT="0" distB="0" distL="0" distR="0">
            <wp:extent cx="1949450" cy="1089660"/>
            <wp:effectExtent l="0" t="0" r="0" b="0"/>
            <wp:docPr id="1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1089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>Total CC Amount :</w:t>
      </w:r>
    </w:p>
    <w:p>
      <w:pPr>
        <w:pStyle w:val="Normal"/>
        <w:ind w:start="720"/>
        <w:rPr>
          <w:bCs/>
          <w:sz w:val="24"/>
          <w:szCs w:val="24"/>
        </w:rPr>
      </w:pPr>
      <w:r>
        <w:rPr>
          <w:bCs/>
          <w:sz w:val="24"/>
          <w:szCs w:val="24"/>
        </w:rPr>
        <w:t>Total CC Amount is a short-term source of financing for a company by a bank.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18"/>
          <w:szCs w:val="18"/>
          <w:lang w:eastAsia="en-IN"/>
        </w:rPr>
      </w:pP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Total CC Amount = </w:t>
      </w:r>
      <w:r>
        <w:rPr>
          <w:rFonts w:eastAsia="Times New Roman" w:cs="Times New Roman" w:ascii="Consolas" w:hAnsi="Consolas"/>
          <w:color w:val="3165BB"/>
          <w:sz w:val="18"/>
          <w:szCs w:val="18"/>
          <w:lang w:eastAsia="en-IN"/>
        </w:rPr>
        <w:t>SUM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>(</w:t>
      </w:r>
      <w:r>
        <w:rPr>
          <w:rFonts w:eastAsia="Times New Roman" w:cs="Times New Roman" w:ascii="Consolas" w:hAnsi="Consolas"/>
          <w:color w:val="001080"/>
          <w:sz w:val="18"/>
          <w:szCs w:val="18"/>
          <w:lang w:eastAsia="en-IN"/>
        </w:rPr>
        <w:t>'Clients - Banking'[Amount of Credit Cards]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 )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18"/>
          <w:szCs w:val="18"/>
          <w:lang w:eastAsia="en-IN"/>
        </w:rPr>
      </w:pP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</w:r>
    </w:p>
    <w:p>
      <w:pPr>
        <w:pStyle w:val="Normal"/>
        <w:ind w:start="720"/>
        <w:rPr>
          <w:b/>
          <w:sz w:val="28"/>
          <w:szCs w:val="28"/>
        </w:rPr>
      </w:pPr>
      <w:r>
        <w:rPr/>
        <w:drawing>
          <wp:inline distT="0" distB="0" distL="0" distR="0">
            <wp:extent cx="2263140" cy="1242060"/>
            <wp:effectExtent l="0" t="0" r="0" b="0"/>
            <wp:docPr id="1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140" cy="1242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>Saving Account Amount :</w:t>
      </w:r>
    </w:p>
    <w:p>
      <w:pPr>
        <w:pStyle w:val="Normal"/>
        <w:ind w:start="720"/>
        <w:rPr>
          <w:bCs/>
          <w:sz w:val="24"/>
          <w:szCs w:val="24"/>
        </w:rPr>
      </w:pPr>
      <w:r>
        <w:rPr>
          <w:bCs/>
          <w:sz w:val="24"/>
          <w:szCs w:val="24"/>
        </w:rPr>
        <w:t>A savings account is an interest-bearing deposit account held at a bank.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18"/>
          <w:szCs w:val="18"/>
          <w:lang w:eastAsia="en-IN"/>
        </w:rPr>
      </w:pP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Savings Account = </w:t>
      </w:r>
      <w:r>
        <w:rPr>
          <w:rFonts w:eastAsia="Times New Roman" w:cs="Times New Roman" w:ascii="Consolas" w:hAnsi="Consolas"/>
          <w:color w:val="3165BB"/>
          <w:sz w:val="18"/>
          <w:szCs w:val="18"/>
          <w:lang w:eastAsia="en-IN"/>
        </w:rPr>
        <w:t>SUM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>(</w:t>
      </w:r>
      <w:r>
        <w:rPr>
          <w:rFonts w:eastAsia="Times New Roman" w:cs="Times New Roman" w:ascii="Consolas" w:hAnsi="Consolas"/>
          <w:color w:val="001080"/>
          <w:sz w:val="18"/>
          <w:szCs w:val="18"/>
          <w:lang w:eastAsia="en-IN"/>
        </w:rPr>
        <w:t>'Clients - Banking'[Saving Accounts]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 ) </w:t>
      </w:r>
    </w:p>
    <w:p>
      <w:pPr>
        <w:pStyle w:val="Normal"/>
        <w:ind w:start="720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ind w:start="720"/>
        <w:rPr>
          <w:b/>
          <w:sz w:val="28"/>
          <w:szCs w:val="28"/>
        </w:rPr>
      </w:pPr>
      <w:r>
        <w:rPr/>
        <w:drawing>
          <wp:inline distT="0" distB="0" distL="0" distR="0">
            <wp:extent cx="2332355" cy="1257300"/>
            <wp:effectExtent l="0" t="0" r="0" b="0"/>
            <wp:docPr id="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355" cy="125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>Foreign Currency Amount :</w:t>
      </w:r>
    </w:p>
    <w:p>
      <w:pPr>
        <w:pStyle w:val="Normal"/>
        <w:ind w:start="720"/>
        <w:rPr>
          <w:bCs/>
          <w:sz w:val="24"/>
          <w:szCs w:val="24"/>
        </w:rPr>
      </w:pPr>
      <w:r>
        <w:rPr>
          <w:bCs/>
          <w:sz w:val="24"/>
          <w:szCs w:val="24"/>
        </w:rPr>
        <w:t>Foreign Currency Account means an account held in a currency that is not the currency of India or Bhutan or Nepal.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18"/>
          <w:szCs w:val="18"/>
          <w:lang w:eastAsia="en-IN"/>
        </w:rPr>
      </w:pP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Foreign Currency Account = 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18"/>
          <w:szCs w:val="18"/>
          <w:lang w:eastAsia="en-IN"/>
        </w:rPr>
      </w:pPr>
      <w:r>
        <w:rPr>
          <w:rFonts w:eastAsia="Times New Roman" w:cs="Times New Roman" w:ascii="Consolas" w:hAnsi="Consolas"/>
          <w:color w:val="3165BB"/>
          <w:sz w:val="18"/>
          <w:szCs w:val="18"/>
          <w:lang w:eastAsia="en-IN"/>
        </w:rPr>
        <w:t>SUM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>(</w:t>
      </w:r>
      <w:r>
        <w:rPr>
          <w:rFonts w:eastAsia="Times New Roman" w:cs="Times New Roman" w:ascii="Consolas" w:hAnsi="Consolas"/>
          <w:color w:val="001080"/>
          <w:sz w:val="18"/>
          <w:szCs w:val="18"/>
          <w:lang w:eastAsia="en-IN"/>
        </w:rPr>
        <w:t>'Clients - Banking'[Foreign Currency Account]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 ) </w:t>
      </w:r>
    </w:p>
    <w:p>
      <w:pPr>
        <w:pStyle w:val="Normal"/>
        <w:ind w:start="720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ind w:start="720"/>
        <w:rPr>
          <w:b/>
          <w:sz w:val="28"/>
          <w:szCs w:val="28"/>
        </w:rPr>
      </w:pPr>
      <w:r>
        <w:rPr/>
        <w:drawing>
          <wp:inline distT="0" distB="0" distL="0" distR="0">
            <wp:extent cx="2301240" cy="1318260"/>
            <wp:effectExtent l="0" t="0" r="0" b="0"/>
            <wp:docPr id="1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1240" cy="1318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>Engagement Account :</w:t>
      </w:r>
    </w:p>
    <w:p>
      <w:pPr>
        <w:pStyle w:val="Normal"/>
        <w:ind w:start="720"/>
        <w:rPr>
          <w:bCs/>
          <w:sz w:val="24"/>
          <w:szCs w:val="24"/>
        </w:rPr>
      </w:pPr>
      <w:r>
        <w:rPr>
          <w:bCs/>
          <w:sz w:val="24"/>
          <w:szCs w:val="24"/>
        </w:rPr>
        <w:t>Engagement Banking is nothing but puts the customer at the center and aims to deliver the digital experiences they expect.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18"/>
          <w:szCs w:val="18"/>
          <w:lang w:eastAsia="en-IN"/>
        </w:rPr>
      </w:pP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Engagment Length = 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18"/>
          <w:szCs w:val="18"/>
          <w:lang w:eastAsia="en-IN"/>
        </w:rPr>
      </w:pPr>
      <w:r>
        <w:rPr>
          <w:rFonts w:eastAsia="Times New Roman" w:cs="Times New Roman" w:ascii="Consolas" w:hAnsi="Consolas"/>
          <w:color w:val="3165BB"/>
          <w:sz w:val="18"/>
          <w:szCs w:val="18"/>
          <w:lang w:eastAsia="en-IN"/>
        </w:rPr>
        <w:t>SUM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>(</w:t>
      </w:r>
      <w:r>
        <w:rPr>
          <w:rFonts w:eastAsia="Times New Roman" w:cs="Times New Roman" w:ascii="Consolas" w:hAnsi="Consolas"/>
          <w:color w:val="001080"/>
          <w:sz w:val="18"/>
          <w:szCs w:val="18"/>
          <w:lang w:eastAsia="en-IN"/>
        </w:rPr>
        <w:t>'Clients - Banking'[Engagment Days]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>)</w:t>
      </w:r>
    </w:p>
    <w:p>
      <w:pPr>
        <w:pStyle w:val="Normal"/>
        <w:ind w:start="720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ind w:start="720"/>
        <w:rPr>
          <w:b/>
          <w:sz w:val="28"/>
          <w:szCs w:val="28"/>
        </w:rPr>
      </w:pPr>
      <w:r>
        <w:rPr/>
        <w:drawing>
          <wp:inline distT="0" distB="0" distL="0" distR="0">
            <wp:extent cx="2263140" cy="1242060"/>
            <wp:effectExtent l="0" t="0" r="0" b="0"/>
            <wp:docPr id="1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140" cy="1242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>Credit Cards Balance :</w:t>
      </w:r>
    </w:p>
    <w:p>
      <w:pPr>
        <w:pStyle w:val="Normal"/>
        <w:ind w:start="720"/>
        <w:rPr>
          <w:bCs/>
          <w:sz w:val="24"/>
          <w:szCs w:val="24"/>
        </w:rPr>
      </w:pPr>
      <w:r>
        <w:rPr>
          <w:bCs/>
          <w:sz w:val="24"/>
          <w:szCs w:val="24"/>
        </w:rPr>
        <w:t>It is the total amount of money currently owned by a cardholder to their credit card bank.</w:t>
      </w:r>
    </w:p>
    <w:p>
      <w:pPr>
        <w:pStyle w:val="Normal"/>
        <w:shd w:val="clear" w:color="auto" w:fill="FFFFFE"/>
        <w:spacing w:lineRule="atLeast" w:line="270" w:before="0" w:after="0"/>
        <w:ind w:start="720"/>
        <w:rPr>
          <w:rFonts w:ascii="Consolas" w:hAnsi="Consolas" w:eastAsia="Times New Roman" w:cs="Times New Roman"/>
          <w:color w:val="000000"/>
          <w:sz w:val="18"/>
          <w:szCs w:val="18"/>
          <w:lang w:eastAsia="en-IN"/>
        </w:rPr>
      </w:pP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Credit Cards Balance = </w:t>
      </w:r>
      <w:r>
        <w:rPr>
          <w:rFonts w:eastAsia="Times New Roman" w:cs="Times New Roman" w:ascii="Consolas" w:hAnsi="Consolas"/>
          <w:color w:val="3165BB"/>
          <w:sz w:val="18"/>
          <w:szCs w:val="18"/>
          <w:lang w:eastAsia="en-IN"/>
        </w:rPr>
        <w:t>SUM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>(</w:t>
      </w:r>
      <w:r>
        <w:rPr>
          <w:rFonts w:eastAsia="Times New Roman" w:cs="Times New Roman" w:ascii="Consolas" w:hAnsi="Consolas"/>
          <w:color w:val="001080"/>
          <w:sz w:val="18"/>
          <w:szCs w:val="18"/>
          <w:lang w:eastAsia="en-IN"/>
        </w:rPr>
        <w:t>'Clients - Banking'[Credit Card Balance]</w:t>
      </w:r>
      <w:r>
        <w:rPr>
          <w:rFonts w:eastAsia="Times New Roman" w:cs="Times New Roman" w:ascii="Consolas" w:hAnsi="Consolas"/>
          <w:color w:val="000000"/>
          <w:sz w:val="18"/>
          <w:szCs w:val="18"/>
          <w:lang w:eastAsia="en-IN"/>
        </w:rPr>
        <w:t xml:space="preserve"> )</w:t>
      </w:r>
    </w:p>
    <w:p>
      <w:pPr>
        <w:pStyle w:val="Normal"/>
        <w:ind w:start="720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ind w:start="720"/>
        <w:rPr>
          <w:b/>
          <w:sz w:val="28"/>
          <w:szCs w:val="28"/>
        </w:rPr>
      </w:pPr>
      <w:r>
        <w:rPr/>
        <w:drawing>
          <wp:inline distT="0" distB="0" distL="0" distR="0">
            <wp:extent cx="1813560" cy="1028700"/>
            <wp:effectExtent l="0" t="0" r="0" b="0"/>
            <wp:docPr id="1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560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start="720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ind w:start="720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>Visualization And Result –</w:t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Home </w:t>
      </w:r>
    </w:p>
    <w:p>
      <w:pPr>
        <w:pStyle w:val="Normal"/>
        <w:rPr>
          <w:b/>
          <w:sz w:val="28"/>
          <w:szCs w:val="28"/>
        </w:rPr>
      </w:pPr>
      <w:r>
        <w:rPr/>
        <w:drawing>
          <wp:inline distT="0" distB="0" distL="0" distR="0">
            <wp:extent cx="5731510" cy="2932430"/>
            <wp:effectExtent l="0" t="0" r="0" b="0"/>
            <wp:docPr id="1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2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>Loan Analysis</w:t>
      </w:r>
    </w:p>
    <w:p>
      <w:pPr>
        <w:pStyle w:val="Normal"/>
        <w:rPr>
          <w:b/>
          <w:sz w:val="28"/>
          <w:szCs w:val="28"/>
        </w:rPr>
      </w:pPr>
      <w:r>
        <w:rPr/>
        <w:drawing>
          <wp:inline distT="0" distB="0" distL="0" distR="0">
            <wp:extent cx="5731510" cy="2924810"/>
            <wp:effectExtent l="0" t="0" r="0" b="0"/>
            <wp:docPr id="1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4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>Deposit Analysis</w:t>
      </w:r>
    </w:p>
    <w:p>
      <w:pPr>
        <w:pStyle w:val="Normal"/>
        <w:rPr>
          <w:b/>
          <w:sz w:val="28"/>
          <w:szCs w:val="28"/>
        </w:rPr>
      </w:pPr>
      <w:r>
        <w:rPr/>
        <w:drawing>
          <wp:inline distT="0" distB="0" distL="0" distR="0">
            <wp:extent cx="5731510" cy="2919095"/>
            <wp:effectExtent l="0" t="0" r="0" b="0"/>
            <wp:docPr id="2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4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9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>Summary Dashboard</w:t>
      </w:r>
    </w:p>
    <w:p>
      <w:pPr>
        <w:pStyle w:val="Normal"/>
        <w:rPr>
          <w:b/>
          <w:sz w:val="28"/>
          <w:szCs w:val="28"/>
        </w:rPr>
      </w:pPr>
      <w:r>
        <w:rPr/>
        <w:drawing>
          <wp:inline distT="0" distB="0" distL="0" distR="0">
            <wp:extent cx="5731510" cy="2887980"/>
            <wp:effectExtent l="0" t="0" r="0" b="0"/>
            <wp:docPr id="2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7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>Recommendations based on Dashboard:-</w:t>
      </w:r>
    </w:p>
    <w:p>
      <w:pPr>
        <w:pStyle w:val="NoSpacing"/>
        <w:numPr>
          <w:ilvl w:val="0"/>
          <w:numId w:val="1"/>
        </w:numPr>
        <w:spacing w:lineRule="auto" w:line="276"/>
        <w:jc w:val="both"/>
        <w:rPr/>
      </w:pPr>
      <w:r>
        <w:rPr>
          <w:rStyle w:val="Strong"/>
          <w:rFonts w:cs="Calibri" w:cstheme="minorHAnsi"/>
          <w:b w:val="false"/>
          <w:bCs w:val="false"/>
          <w:color w:themeColor="text1" w:val="000000"/>
          <w:sz w:val="24"/>
          <w:szCs w:val="24"/>
        </w:rPr>
        <w:t>Prioritize loan approvals for low-risk client segments</w:t>
      </w:r>
      <w:r>
        <w:rPr>
          <w:rFonts w:cs="Calibri" w:cstheme="minorHAnsi"/>
          <w:b w:val="false"/>
          <w:bCs w:val="false"/>
          <w:color w:themeColor="text1" w:val="000000"/>
          <w:sz w:val="24"/>
          <w:szCs w:val="24"/>
        </w:rPr>
        <w:t xml:space="preserve">, as customers with </w:t>
      </w:r>
      <w:r>
        <w:rPr>
          <w:rStyle w:val="Strong"/>
          <w:rFonts w:cs="Calibri" w:cstheme="minorHAnsi"/>
          <w:b w:val="false"/>
          <w:bCs w:val="false"/>
          <w:color w:themeColor="text1" w:val="000000"/>
          <w:sz w:val="24"/>
          <w:szCs w:val="24"/>
        </w:rPr>
        <w:t>engagement tenure &gt;3 years show ~25–30% lower default risk</w:t>
      </w:r>
      <w:r>
        <w:rPr>
          <w:rFonts w:cs="Calibri" w:cstheme="minorHAnsi"/>
          <w:b w:val="false"/>
          <w:bCs w:val="false"/>
          <w:color w:themeColor="text1" w:val="000000"/>
          <w:sz w:val="24"/>
          <w:szCs w:val="24"/>
        </w:rPr>
        <w:t xml:space="preserve"> and higher repayment consistency.</w:t>
      </w:r>
    </w:p>
    <w:p>
      <w:pPr>
        <w:pStyle w:val="NoSpacing"/>
        <w:numPr>
          <w:ilvl w:val="0"/>
          <w:numId w:val="1"/>
        </w:numPr>
        <w:spacing w:lineRule="auto" w:line="276"/>
        <w:jc w:val="both"/>
        <w:rPr/>
      </w:pPr>
      <w:r>
        <w:rPr>
          <w:rStyle w:val="Strong"/>
          <w:rFonts w:cs="Calibri" w:cstheme="minorHAnsi"/>
          <w:b w:val="false"/>
          <w:bCs w:val="false"/>
          <w:color w:themeColor="text1" w:val="000000"/>
          <w:sz w:val="24"/>
          <w:szCs w:val="24"/>
        </w:rPr>
        <w:t>Increase focus on mid-income applicants (₹100K–₹300K income band)</w:t>
      </w:r>
      <w:r>
        <w:rPr>
          <w:rFonts w:cs="Calibri" w:cstheme="minorHAnsi"/>
          <w:b w:val="false"/>
          <w:bCs w:val="false"/>
          <w:color w:themeColor="text1" w:val="000000"/>
          <w:sz w:val="24"/>
          <w:szCs w:val="24"/>
        </w:rPr>
        <w:t xml:space="preserve">, who contribute to </w:t>
      </w:r>
      <w:r>
        <w:rPr>
          <w:rStyle w:val="Strong"/>
          <w:rFonts w:cs="Calibri" w:cstheme="minorHAnsi"/>
          <w:b w:val="false"/>
          <w:bCs w:val="false"/>
          <w:color w:themeColor="text1" w:val="000000"/>
          <w:sz w:val="24"/>
          <w:szCs w:val="24"/>
        </w:rPr>
        <w:t>~45% of total loan volume while maintaining healthier deposit-to-loan ratios</w:t>
      </w:r>
      <w:r>
        <w:rPr>
          <w:rFonts w:cs="Calibri" w:cstheme="minorHAnsi"/>
          <w:b w:val="false"/>
          <w:bCs w:val="false"/>
          <w:color w:themeColor="text1" w:val="000000"/>
          <w:sz w:val="24"/>
          <w:szCs w:val="24"/>
        </w:rPr>
        <w:t>.</w:t>
      </w:r>
    </w:p>
    <w:p>
      <w:pPr>
        <w:pStyle w:val="NoSpacing"/>
        <w:numPr>
          <w:ilvl w:val="0"/>
          <w:numId w:val="1"/>
        </w:numPr>
        <w:spacing w:lineRule="auto" w:line="276"/>
        <w:jc w:val="both"/>
        <w:rPr/>
      </w:pPr>
      <w:r>
        <w:rPr>
          <w:rStyle w:val="Strong"/>
          <w:rFonts w:cs="Calibri" w:cstheme="minorHAnsi"/>
          <w:b w:val="false"/>
          <w:bCs w:val="false"/>
          <w:color w:themeColor="text1" w:val="000000"/>
          <w:sz w:val="24"/>
          <w:szCs w:val="24"/>
        </w:rPr>
        <w:t>Expand private banking product offerings</w:t>
      </w:r>
      <w:r>
        <w:rPr>
          <w:rFonts w:cs="Calibri" w:cstheme="minorHAnsi"/>
          <w:b w:val="false"/>
          <w:bCs w:val="false"/>
          <w:color w:themeColor="text1" w:val="000000"/>
          <w:sz w:val="24"/>
          <w:szCs w:val="24"/>
        </w:rPr>
        <w:t xml:space="preserve">, as </w:t>
      </w:r>
      <w:r>
        <w:rPr>
          <w:rStyle w:val="Strong"/>
          <w:rFonts w:cs="Calibri" w:cstheme="minorHAnsi"/>
          <w:b w:val="false"/>
          <w:bCs w:val="false"/>
          <w:color w:themeColor="text1" w:val="000000"/>
          <w:sz w:val="24"/>
          <w:szCs w:val="24"/>
        </w:rPr>
        <w:t>private banks account for ~60% of total clients and generate ~35% higher fee revenue</w:t>
      </w:r>
      <w:r>
        <w:rPr>
          <w:rFonts w:cs="Calibri" w:cstheme="minorHAnsi"/>
          <w:b w:val="false"/>
          <w:bCs w:val="false"/>
          <w:color w:themeColor="text1" w:val="000000"/>
          <w:sz w:val="24"/>
          <w:szCs w:val="24"/>
        </w:rPr>
        <w:t xml:space="preserve"> compared to public banks.</w:t>
      </w:r>
    </w:p>
    <w:p>
      <w:pPr>
        <w:pStyle w:val="NoSpacing"/>
        <w:numPr>
          <w:ilvl w:val="0"/>
          <w:numId w:val="1"/>
        </w:numPr>
        <w:spacing w:lineRule="auto" w:line="276"/>
        <w:jc w:val="both"/>
        <w:rPr/>
      </w:pPr>
      <w:r>
        <w:rPr>
          <w:rStyle w:val="Strong"/>
          <w:rFonts w:cs="Calibri" w:cstheme="minorHAnsi"/>
          <w:b w:val="false"/>
          <w:bCs w:val="false"/>
          <w:color w:themeColor="text1" w:val="000000"/>
          <w:sz w:val="24"/>
          <w:szCs w:val="24"/>
        </w:rPr>
        <w:t>Cross-sell deposit products to high-loan customers</w:t>
      </w:r>
      <w:r>
        <w:rPr>
          <w:rFonts w:cs="Calibri" w:cstheme="minorHAnsi"/>
          <w:b w:val="false"/>
          <w:bCs w:val="false"/>
          <w:color w:themeColor="text1" w:val="000000"/>
          <w:sz w:val="24"/>
          <w:szCs w:val="24"/>
        </w:rPr>
        <w:t xml:space="preserve">, since clients with active savings and checking accounts hold </w:t>
      </w:r>
      <w:r>
        <w:rPr>
          <w:rStyle w:val="Strong"/>
          <w:rFonts w:cs="Calibri" w:cstheme="minorHAnsi"/>
          <w:b w:val="false"/>
          <w:bCs w:val="false"/>
          <w:color w:themeColor="text1" w:val="000000"/>
          <w:sz w:val="24"/>
          <w:szCs w:val="24"/>
        </w:rPr>
        <w:t>~40% higher total deposits</w:t>
      </w:r>
      <w:r>
        <w:rPr>
          <w:rFonts w:cs="Calibri" w:cstheme="minorHAnsi"/>
          <w:b w:val="false"/>
          <w:bCs w:val="false"/>
          <w:color w:themeColor="text1" w:val="000000"/>
          <w:sz w:val="24"/>
          <w:szCs w:val="24"/>
        </w:rPr>
        <w:t>, improving liquidity and risk coverage.</w:t>
      </w:r>
    </w:p>
    <w:p>
      <w:pPr>
        <w:pStyle w:val="NoSpacing"/>
        <w:numPr>
          <w:ilvl w:val="0"/>
          <w:numId w:val="1"/>
        </w:numPr>
        <w:spacing w:lineRule="auto" w:line="276"/>
        <w:jc w:val="both"/>
        <w:rPr/>
      </w:pPr>
      <w:r>
        <w:rPr>
          <w:rStyle w:val="Strong"/>
          <w:rFonts w:cs="Calibri" w:cstheme="minorHAnsi"/>
          <w:b w:val="false"/>
          <w:bCs w:val="false"/>
          <w:color w:themeColor="text1" w:val="000000"/>
          <w:sz w:val="24"/>
          <w:szCs w:val="24"/>
        </w:rPr>
        <w:t>Target high-fee, high-loan portfolios with optimized processing fees</w:t>
      </w:r>
      <w:r>
        <w:rPr>
          <w:rFonts w:cs="Calibri" w:cstheme="minorHAnsi"/>
          <w:b w:val="false"/>
          <w:bCs w:val="false"/>
          <w:color w:themeColor="text1" w:val="000000"/>
          <w:sz w:val="24"/>
          <w:szCs w:val="24"/>
        </w:rPr>
        <w:t xml:space="preserve">, as a </w:t>
      </w:r>
      <w:r>
        <w:rPr>
          <w:rStyle w:val="Strong"/>
          <w:rFonts w:cs="Calibri" w:cstheme="minorHAnsi"/>
          <w:b w:val="false"/>
          <w:bCs w:val="false"/>
          <w:color w:themeColor="text1" w:val="000000"/>
          <w:sz w:val="24"/>
          <w:szCs w:val="24"/>
        </w:rPr>
        <w:t>5% processing fee on total loans contributes ~15–20% of non-interest revenue</w:t>
      </w:r>
      <w:r>
        <w:rPr>
          <w:rFonts w:cs="Calibri" w:cstheme="minorHAnsi"/>
          <w:b w:val="false"/>
          <w:bCs w:val="false"/>
          <w:color w:themeColor="text1" w:val="000000"/>
          <w:sz w:val="24"/>
          <w:szCs w:val="24"/>
        </w:rPr>
        <w:t>, strengthening profitability without increasing credit exposure.</w:t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>Conclusion –</w:t>
      </w:r>
    </w:p>
    <w:p>
      <w:pPr>
        <w:pStyle w:val="NoSpacing"/>
        <w:spacing w:lineRule="auto" w:line="276"/>
        <w:jc w:val="both"/>
        <w:rPr>
          <w:rFonts w:cs="Calibri" w:cstheme="minorHAnsi"/>
          <w:color w:themeColor="text1" w:val="000000"/>
          <w:sz w:val="24"/>
          <w:szCs w:val="24"/>
        </w:rPr>
      </w:pPr>
      <w:r>
        <w:rPr>
          <w:rFonts w:cs="Calibri" w:cstheme="minorHAnsi"/>
          <w:color w:themeColor="text1" w:val="000000"/>
          <w:sz w:val="24"/>
          <w:szCs w:val="24"/>
        </w:rPr>
        <w:t>Empowered by the latest data visualization techniques, Power BI dashboards are among the most effective resources for using in banking sector. As outlined in this write-up, a banking  operations dashboard in Power BI can be developed with key banking related metrics and KPIs.</w:t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sz w:val="28"/>
          <w:szCs w:val="28"/>
        </w:rPr>
      </w:pPr>
      <w:r>
        <w:rPr/>
      </w:r>
    </w:p>
    <w:p>
      <w:pPr>
        <w:pStyle w:val="Normal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ind w:star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before="0" w:after="1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sectPr>
      <w:headerReference w:type="even" r:id="rId23"/>
      <w:headerReference w:type="default" r:id="rId24"/>
      <w:headerReference w:type="first" r:id="rId25"/>
      <w:type w:val="nextPage"/>
      <w:pgSz w:w="11906" w:h="16838"/>
      <w:pgMar w:left="1440" w:right="1440" w:gutter="0" w:header="708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Consolas">
    <w:charset w:val="00" w:characterSet="windows-1252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b/>
        <w:bCs/>
        <w:sz w:val="28"/>
        <w:szCs w:val="28"/>
      </w:rPr>
    </w:pPr>
    <w:r>
      <w:rPr>
        <w:b/>
        <w:bCs/>
        <w:sz w:val="28"/>
        <w:szCs w:val="2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b/>
        <w:bCs/>
        <w:sz w:val="28"/>
        <w:szCs w:val="28"/>
      </w:rPr>
    </w:pPr>
    <w:r>
      <w:rPr>
        <w:b/>
        <w:bCs/>
        <w:sz w:val="28"/>
        <w:szCs w:val="2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7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IN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b105e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b105e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7b105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7b105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b438ce"/>
    <w:pPr>
      <w:widowControl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header" Target="header3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Application>LibreOffice/25.8.3.2$Windows_X86_64 LibreOffice_project/8ca8d55c161d602844f5428fa4b58097424e324e</Application>
  <AppVersion>15.0000</AppVersion>
  <Pages>12</Pages>
  <Words>934</Words>
  <Characters>5114</Characters>
  <CharactersWithSpaces>5965</CharactersWithSpaces>
  <Paragraphs>122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2022-08-21T14:11:00Z</dcterms:created>
  <dc:creator>Prathyusha Beesa</dc:creator>
  <dc:description/>
  <dc:language>en-US</dc:language>
  <cp:lastModifiedBy/>
  <dcterms:modified xsi:type="dcterms:W3CDTF">2025-12-26T13:32:18Z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