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 X  双重机器学习因果效应估计结果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insideV w:val="none" w:sz="0" w:space="0" w:color="000000"/>
          <w:left w:val="none" w:sz="0" w:space="0" w:color="000000"/>
          <w:right w:val="none" w:sz="0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变量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模型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估计量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点估计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标准误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95% CI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T1: 社会参与指数 (连续)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PLR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θ₀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-0.115***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[-0.184, -0.046]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24,616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多病共存≥2种 (二元)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IRM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1.285***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[1.061, 1.509]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24,616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T2: 多病共存≥2种 (二元)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IRM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ATTE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1.491***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(0.181)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[1.136, 1.845]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24,616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 (二元)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IRM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[0.521, 0.896]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24,616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T3: 睡眠异常 (二元)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IRM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ATTE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0.976***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(0.130)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[0.710, 1.230]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24,616</w:t>
            </w:r>
          </w:p>
        </w:tc>
      </w:tr>
    </w:tbl>
    <w:p>
      <w:r>
        <w:t>注：*** p&lt;0.01, ** p&lt;0.05, * p&lt;0.1。标准误由DML Neyman正交化推断得到。第一阶段learner为XGBoost(n_estimators=500, max_depth=5)。交叉拟合5折，重复5次取中位数。Treatment均取t-1期值，Outcome取t期值（lagged结构）。PLR: 部分线性回归模型(连续treatment)；IRM: 交互回归模型(二元treatment)。ATE: 平均处理效应；ATTE: 处理组平均处理效应。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