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X  面板固定效应基准回归结果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变量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FE-1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FE-1_SE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FE-2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FE-2_SE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FE-3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FE-3_SE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SocPart (社会参与指数)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ChronDis (慢性病数量)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0.102**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0.233***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BodyPain (身体不适数量)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0.197***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Sleep (睡眠时长(小时))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-0.299***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-0.285***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-0.323***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(0.024)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hhcperc_log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MedIns (医疗保险)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(0.179)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(0.177)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Pension (养老保险)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fcamt_log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PhyAct (身体活动指数)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-0.336*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(0.190)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-0.367*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SRH (自评健康)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-0.826***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Age (年龄)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0.257***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0.252***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Married (已婚)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-0.915***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(0.221)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-0.865***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(0.218)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-0.953***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(0.223)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BMI (体质指数)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-0.040**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-0.036**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-0.034**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Smoke (当前吸烟)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(0.143)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Drink (饮酒)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(0.113)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Retired (已退休)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(0.247)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(0.243)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(0.248)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FamSize (家庭规模)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-0.056*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-0.064**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-0.049*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Children (健在子女数)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(0.076)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 (观测)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36,738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36,738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36,738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个体数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10,801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10,801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10,801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R²(within)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F统计量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t>注：*** p&lt;0.01, ** p&lt;0.05, * p&lt;0.1。括号内为个体聚类稳健标准误。所有模型包含个体固定效应和年份固定效应。gender、edu、rural2被个体固定效应吸收，不在表中显示。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