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表 X  面板固定效应基准回归结果（最终模型）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insideH w:val="none" w:sz="0" w:space="0" w:color="000000"/>
          <w:insideV w:val="none" w:sz="0" w:space="0" w:color="000000"/>
          <w:left w:val="none" w:sz="0" w:space="0" w:color="000000"/>
          <w:right w:val="none" w:sz="0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变量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系数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标准误</w:t>
            </w:r>
          </w:p>
        </w:tc>
        <w:tc>
          <w:tcPr>
            <w:tcW w:type="dxa" w:w="216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95% CI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—— 核心解释变量 ——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SocPart (社会参与指数)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-0.151***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[-0.234, -0.068]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ChronDis (慢性病数量)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0.163***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[0.077, 0.248]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BodyPain (身体不适数量)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0.224***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(0.015)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[0.195, 0.253]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Sleep (睡眠时长(小时))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-0.299***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(0.024)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[-0.346, -0.252]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hhcperc_log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(0.056)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[-0.093, 0.125]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MedIns (医疗保险)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-0.185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(0.179)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[-0.535, 0.165]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Pension (养老保险)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(0.099)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[-0.212, 0.178]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fcamt_log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(0.013)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[-0.030, 0.020]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—— 控制变量 ——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Age (年龄)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0.257***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[0.216, 0.298]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Married (已婚)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-0.913***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(0.221)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[-1.347, -0.480]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BMI (体质指数)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-0.041**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(0.017)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[-0.073, -0.008]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Smoke (当前吸烟)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-0.205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(0.142)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[-0.484, 0.073]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Drink (饮酒)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0.023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(0.112)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[-0.196, 0.243]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Retired (已退休)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-0.122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(0.247)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[-0.605, 0.362]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FamSize (家庭规模)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-0.056*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(0.028)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[-0.111, 0.000]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Children (健在子女数)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-0.029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[-0.178, 0.119]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N (观测)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36,738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个体数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10,801.0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R² (within)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0.0133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R² (overall)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0.3721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F统计量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54.21***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个体固定效应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年份固定效应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聚类标准误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个体层面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r>
        <w:t>注：*** p&lt;0.01, ** p&lt;0.05, * p&lt;0.1。括号内为个体聚类稳健标准误。所有模型包含个体固定效应和年份固定效应。gender、edu、rural2为时间不变变量，被个体固定效应吸收。activity_index因与social_activity_index严重共线(r=0.98)而排除。srh因确认为中介变量（坏控制）而不纳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