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表1 全样本描述统计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 w:sz="0" w:space="0" w:color="000000"/>
          <w:insideV w:val="none" w:sz="0" w:space="0" w:color="000000"/>
          <w:left w:val="none" w:sz="0" w:space="0" w:color="000000"/>
          <w:right w:val="none" w:sz="0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类别</w:t>
            </w:r>
          </w:p>
        </w:tc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变量</w:t>
            </w:r>
          </w:p>
        </w:tc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中文名</w:t>
            </w:r>
          </w:p>
        </w:tc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均值</w:t>
            </w:r>
          </w:p>
        </w:tc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标准差</w:t>
            </w:r>
          </w:p>
        </w:tc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最小值</w:t>
            </w:r>
          </w:p>
        </w:tc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中位数</w:t>
            </w:r>
          </w:p>
        </w:tc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最大值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因变量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cesd10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抑郁得分(CES-D10)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8.630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6.380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核心解释变量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social_activity_index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社会参与指数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核心解释变量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chronic_disease_count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慢性病数量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1.739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核心解释变量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body_discomfort_count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身体不适数量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2.231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3.395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核心解释变量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sleep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睡眠时长(小时)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6.129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核心解释变量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hhcperc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人均消费(对数)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11445.527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9530.085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9135.036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70865.000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核心解释变量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ins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医疗保险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核心解释变量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pension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养老保险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核心解释变量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fcamt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子女经济支持(对数)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4007.062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5886.058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43201.000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核心解释变量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activity_index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身体活动指数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控制变量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年龄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68.454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6.577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67.000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控制变量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gender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性别(男=1)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控制变量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edu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受教育程度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1.781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控制变量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marry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已婚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控制变量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rural2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城镇户口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控制变量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bmi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体质指数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23.184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23.044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49.334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控制变量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smoken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当前吸烟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控制变量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drinkev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饮酒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控制变量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retire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已退休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控制变量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family_size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家庭规模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1.663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16.000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控制变量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hchild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健在子女数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39472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3.062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13.000</w:t>
            </w:r>
          </w:p>
        </w:tc>
      </w:tr>
    </w:tbl>
    <w:p>
      <w:r>
        <w:t>注：N=39472（全面板观测数）。连续变量报告均值和标准差，二元变量均值即为比例。数据来源：CHARLS 2011-2020。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