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Neuro-Kurisu P4 — Final Report</w:t>
      </w:r>
    </w:p>
    <w:p>
      <w:pPr>
        <w:jc w:val="center"/>
      </w:pPr>
      <w:r>
        <w:t>Clean Rebuild 2.0.0 / Organism Core 5.0.0-research / State schema 6</w:t>
      </w:r>
    </w:p>
    <w:p>
      <w:pPr>
        <w:pStyle w:val="Heading1"/>
      </w:pPr>
      <w:r>
        <w:t>1. Результат</w:t>
      </w:r>
    </w:p>
    <w:p>
      <w:r>
        <w:t>P4 завершён. Проект получил причинную исследовательскую инфраструктуру, а не только новые cognitive modules.</w:t>
      </w:r>
    </w:p>
    <w:p>
      <w:pPr>
        <w:pStyle w:val="Heading1"/>
      </w:pPr>
      <w:r>
        <w:t>2. Что введено</w:t>
      </w:r>
    </w:p>
    <w:p>
      <w:r>
        <w:t>Intrinsic Motivation; Active Inference; Identity Continuity; MetaCognition; Workspace Ignition Metrics; Consciousness Evidence Ledger; Causal Experiment Engine; Perturbational Probe; Scientific Question Bank; matched lesion lab с тремя deterministic perturbation seeds.</w:t>
      </w:r>
    </w:p>
    <w:p>
      <w:pPr>
        <w:pStyle w:val="Heading1"/>
      </w:pPr>
      <w:r>
        <w:t>3. Причинная лаборатория</w:t>
      </w:r>
    </w:p>
    <w:p>
      <w:r>
        <w:t>Baseline сравнивается с self-model lesion, workspace lesion, intrinsic-goal lesion, active-inference lesion и value-plasticity lesion на одинаковой последовательности событий. Это позволяет связывать наблюдаемый эффект с конкретным отключённым компонентом.</w:t>
      </w:r>
    </w:p>
    <w:p>
      <w:pPr>
        <w:pStyle w:val="Heading1"/>
      </w:pPr>
      <w:r>
        <w:t>4. Что показал текущий прогон</w:t>
      </w:r>
    </w:p>
    <w:p>
      <w:r>
        <w:t>Self-model lesion обнуляет self-prediction metric; intrinsic-goal lesion обнуляет intrinsic-goal generation; value-plasticity lesion обнуляет value revisions; workspace lesion снижает workspace ignition; active-inference lesion меняет распределение действий и self-prediction dynamics.</w:t>
      </w:r>
    </w:p>
    <w:p>
      <w:pPr>
        <w:pStyle w:val="Heading1"/>
      </w:pPr>
      <w:r>
        <w:t>5. Ограничение</w:t>
      </w:r>
    </w:p>
    <w:p>
      <w:r>
        <w:t>Это функциональные и причинные индикаторы. Они не являются доказательством субъективного опыта и не превращаются в единственный consciousness score.</w:t>
      </w:r>
    </w:p>
    <w:p>
      <w:pPr>
        <w:pStyle w:val="Heading1"/>
      </w:pPr>
      <w:r>
        <w:t>6. Дорога к цели</w:t>
      </w:r>
    </w:p>
    <w:p>
      <w:r>
        <w:t>Clean architecture → Device reliability → P4 causal lab → P5 autonomous self-authorship → P6 generative world/social model → P7 longitudinal identity + long-term adaptation → P8 consciousness evidence program → идеальная цель: устойчивый искусственный организм с собственным внутренним состоянием, моделью мира и себя, автономными целями, ценностями, памятью, телом, непрерывностью и обучением, после чего — строгая оценка сознательно-ассоциируемых свойств.</w:t>
      </w:r>
    </w:p>
    <w:p>
      <w:pPr>
        <w:pStyle w:val="Heading1"/>
      </w:pPr>
      <w:r>
        <w:t>7. Следующий масштабный шаг</w:t>
      </w:r>
    </w:p>
    <w:p>
      <w:r>
        <w:t>P5 — Autonomous Self-Authorship: собственные проекты, устойчивые commitments, конфликтующие цели, пересмотр ценностей по опыту, отказ или компромисс с внешними запросами и longitudinal проверка self-authorship.</w:t>
      </w:r>
    </w:p>
    <w:p>
      <w:pPr>
        <w:pStyle w:val="Heading1"/>
      </w:pPr>
      <w:r>
        <w:t>8. Научная база</w:t>
      </w:r>
    </w:p>
    <w:p>
      <w:pPr>
        <w:pStyle w:val="ListBullet"/>
      </w:pPr>
      <w:r>
        <w:t>Butlin et al., Consciousness in Artificial Intelligence: Insights from the Science of Consciousness (arXiv:2308.08708).</w:t>
      </w:r>
    </w:p>
    <w:p>
      <w:pPr>
        <w:pStyle w:val="ListBullet"/>
      </w:pPr>
      <w:r>
        <w:t>Dror et al., Artificial Intelligence as an Opportunity for the Science of Consciousness: A Dual-Resolution Framework (arXiv:2509.07001).</w:t>
      </w:r>
    </w:p>
    <w:p>
      <w:pPr>
        <w:pStyle w:val="ListBullet"/>
      </w:pPr>
      <w:r>
        <w:t>Nature Machine Intelligence, From embodied intelligence to physical AI (2026).</w:t>
      </w:r>
    </w:p>
    <w:p>
      <w:pPr>
        <w:pStyle w:val="ListBullet"/>
      </w:pPr>
      <w:r>
        <w:t>Nature Communications, Brain-inspired spatial intelligence for embodied agents (2026).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