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34AB7"/>
          <w:sz w:val="22"/>
          <w:szCs w:val="22"/>
        </w:rPr>
        <w:t xml:space="preserve">ST.ELLA — LRET Accuracy Audit</w:t>
      </w:r>
    </w:p>
    <w:p>
      <w:pPr>
        <w:pStyle w:val="Title"/>
        <w:spacing w:after="80"/>
      </w:pPr>
      <w:r>
        <w:rPr>
          <w:b/>
          <w:bCs/>
          <w:color w:val="2C2C2A"/>
          <w:sz w:val="40"/>
          <w:szCs w:val="40"/>
        </w:rPr>
        <w:t xml:space="preserve">LRET Accuracy Audit — Findings v1</w:t>
      </w:r>
    </w:p>
    <w:p>
      <w:pPr>
        <w:spacing w:after="160"/>
      </w:pPr>
      <w:r>
        <w:rPr>
          <w:b w:val="false"/>
          <w:bCs w:val="false"/>
          <w:i/>
          <w:iCs/>
          <w:color w:val="5F5E5A"/>
        </w:rPr>
        <w:t xml:space="preserve">The standing prerequisite from LRET_v2_Spec.docx §2, now actually run against real sessions and the live engine code.</w:t>
      </w:r>
    </w:p>
    <w:p>
      <w:pPr>
        <w:spacing w:after="160"/>
      </w:pPr>
      <w:r>
        <w:rPr>
          <w:i/>
          <w:iCs/>
          <w:color w:val="5F5E5A"/>
          <w:sz w:val="20"/>
          <w:szCs w:val="20"/>
        </w:rPr>
        <w:t xml:space="preserve">July 2026. Verdict up front: CLARIFY should not ship as-is. Details and evidence below.</w:t>
      </w:r>
    </w:p>
    <w:p>
      <w:pPr>
        <w:pStyle w:val="Heading1"/>
        <w:spacing w:after="120" w:before="300"/>
      </w:pPr>
      <w:r>
        <w:rPr>
          <w:b/>
          <w:bCs/>
          <w:color w:val="534AB7"/>
        </w:rPr>
        <w:t xml:space="preserve">0. Method</w:t>
      </w:r>
    </w:p>
    <w:p>
      <w:pPr>
        <w:spacing w:after="160"/>
      </w:pPr>
      <w:r>
        <w:rPr>
          <w:b w:val="false"/>
          <w:bCs w:val="false"/>
          <w:i w:val="false"/>
          <w:iCs w:val="false"/>
          <w:color w:val="5F5E5A"/>
        </w:rPr>
        <w:t xml:space="preserve">Two real sessions were rated by hand against their actual essay text: student_123's weak-to-mid essay (gold_20260711_182823_essay_001_2f8d1916 — real, messy, non-native writing) and the stress_strong essay (gold_20260712_103041_essay_strong_001_5c2703bb — a deliberately sophisticated, largely error-free essay authored for earlier stress testing). Every FIX, ENHANCE, and CLARIFY item LRET actually surfaced was checked against its own context sentence and marked correct, wrong, or borderline. This is exactly the audit protocol the LRET spec called for, just not yet run at the 20-30 session scale it recommends — treat this as a first pass that already found a real, actionable problem, not the full-scale audit.</w:t>
      </w:r>
    </w:p>
    <w:p>
      <w:pPr>
        <w:pStyle w:val="Heading1"/>
        <w:spacing w:after="120" w:before="300"/>
      </w:pPr>
      <w:r>
        <w:rPr>
          <w:b/>
          <w:bCs/>
          <w:color w:val="534AB7"/>
        </w:rPr>
        <w:t xml:space="preserve">1. What the real data shows</w:t>
      </w:r>
    </w:p>
    <w:p>
      <w:pPr>
        <w:pStyle w:val="Heading2"/>
        <w:spacing w:after="100" w:before="220"/>
      </w:pPr>
      <w:r>
        <w:rPr>
          <w:b/>
          <w:bCs/>
          <w:color w:val="534AB7"/>
        </w:rPr>
        <w:t xml:space="preserve">1.1 FIX — the one class that held up</w:t>
      </w:r>
    </w:p>
    <w:p>
      <w:pPr>
        <w:spacing w:after="160"/>
      </w:pPr>
      <w:r>
        <w:rPr>
          <w:b w:val="false"/>
          <w:bCs w:val="false"/>
          <w:i w:val="false"/>
          <w:iCs w:val="false"/>
          <w:color w:val="5F5E5A"/>
        </w:rPr>
        <w:t xml:space="preserve">1/1 correct in the sample audited. “Another issued is” → “Another issue is” is a genuinely correct word-form fix. Too small a sample to certify FIX overall, but it's the only class that didn't show a problem.</w:t>
      </w:r>
    </w:p>
    <w:p>
      <w:pPr>
        <w:pStyle w:val="Heading2"/>
        <w:spacing w:after="100" w:before="220"/>
      </w:pPr>
      <w:r>
        <w:rPr>
          <w:b/>
          <w:bCs/>
          <w:color w:val="534AB7"/>
        </w:rPr>
        <w:t xml:space="preserve">1.2 ENHANCE — flags ordinary correct verbs as vague</w:t>
      </w:r>
    </w:p>
    <w:p>
      <w:pPr>
        <w:spacing w:after="160"/>
      </w:pPr>
      <w:r>
        <w:rPr>
          <w:b w:val="false"/>
          <w:bCs w:val="false"/>
          <w:i w:val="false"/>
          <w:iCs w:val="false"/>
          <w:color w:val="5F5E5A"/>
        </w:rPr>
        <w:t xml:space="preserve">Both ENHANCE items in student_123's session flagged the word “help” specifically — “people often help [take care of their grandchildren]” and “people still help [society]” — as needing a stronger, less “vague” verb. Both are completely ordinary, correct English; neither is vague in context. In the stress_strong essay, ENHANCE instead flagged entire clauses (“participation in volunteer work tends to correlate strongly with socioeconomic advantage” — 10 words) rather than a specific word or short phrase, which is an unusually large unit for a lexical enhancement suggestion. Both patterns trace to the same mechanism: the engine's internal “dynamic keep/enhance quota” recovery logic (v163_quota_recovery_seed, visible directly in the real output's extraction_flags) straining to hit a target ENHANCE count on essays where there genuinely isn't much to enhance, and pulling in low-quality or oversized candidates to do it.</w:t>
      </w:r>
    </w:p>
    <w:p>
      <w:pPr>
        <w:pStyle w:val="Heading2"/>
        <w:spacing w:after="100" w:before="220"/>
      </w:pPr>
      <w:r>
        <w:rPr>
          <w:b/>
          <w:bCs/>
          <w:color w:val="534AB7"/>
        </w:rPr>
        <w:t xml:space="preserve">1.3 CLARIFY — the real problem, confirmed on two very different essays</w:t>
      </w:r>
    </w:p>
    <w:p>
      <w:pPr>
        <w:spacing w:after="160"/>
      </w:pPr>
      <w:r>
        <w:rPr>
          <w:b w:val="false"/>
          <w:bCs w:val="false"/>
          <w:i w:val="false"/>
          <w:iCs w:val="false"/>
          <w:color w:val="5F5E5A"/>
        </w:rPr>
        <w:t xml:space="preserve">This is where the majority-wrong complaint is concretely true, not just a feeling. In student_123's session (20 CLARIFY items total): roughly 4 were genuinely correct catches (real vagueness, e.g. “doing everything...for home-things”), about 4 more caught a real problem but mis-classified it as CLARIFY when it was actually a grammar FIX (e.g. “young peoples”, “This make a family more stronger” — both have an obvious concrete correction, so asking the student to “clarify what they meant” is the wrong response), and at least 11 flagged completely ordinary, clear English as vague: “health care”, “family traditions”, “give good advice”, “slow down”, “many old people” / “old people need” / “people need care” / “need care” (four overlapping flags on one six-word run, despite the engine's own docstring claiming a dedup stage exists for exactly this).</w:t>
      </w:r>
    </w:p>
    <w:p>
      <w:pPr>
        <w:spacing w:after="160"/>
      </w:pPr>
      <w:r>
        <w:rPr>
          <w:b w:val="false"/>
          <w:bCs w:val="false"/>
          <w:i w:val="false"/>
          <w:iCs w:val="false"/>
          <w:color w:val="5F5E5A"/>
        </w:rPr>
        <w:t xml:space="preserve">The stress_strong essay is the more damning result: 0 FIX (correct — the essay is genuinely clean) but 5/5 CLARIFY items wrong — “academic pursuits”, “correlate strongly”, “free time”, “rare opportunity”, “school holidays”. Every one of these is clear, correctly used, and in several cases genuinely sophisticated academic phrasing. This rules out “CLARIFY only misfires on messy non-native writing” — it misfired on 100% of its flags against a deliberately well-written essay.</w:t>
      </w:r>
    </w:p>
    <w:p>
      <w:pPr>
        <w:pStyle w:val="Heading1"/>
        <w:spacing w:after="120" w:before="300"/>
      </w:pPr>
      <w:r>
        <w:rPr>
          <w:b/>
          <w:bCs/>
          <w:color w:val="534AB7"/>
        </w:rPr>
        <w:t xml:space="preserve">2. Confidence does not track correctness</w:t>
      </w:r>
    </w:p>
    <w:p>
      <w:pPr>
        <w:spacing w:after="160"/>
      </w:pPr>
      <w:r>
        <w:rPr>
          <w:b w:val="false"/>
          <w:bCs w:val="false"/>
          <w:i w:val="false"/>
          <w:iCs w:val="false"/>
          <w:color w:val="5F5E5A"/>
        </w:rPr>
        <w:t xml:space="preserve">Both audited sessions reported qa.confidence of 0.82 and 0.78 respectively — both “reasonably confident” by the engine's own accounting, despite CLARIFY being wrong roughly half-to-all of the time in the same runs. This directly answers the open question from LRET_v2_Spec.docx §2: confidence is not currently a usable signal for deciding which items to trust or surface, and should not be wired into anything downstream (the priority-engine signal proposed in §5.3) until it's recalibrated or replaced.</w:t>
      </w:r>
    </w:p>
    <w:p>
      <w:pPr>
        <w:pStyle w:val="Heading1"/>
        <w:spacing w:after="120" w:before="300"/>
      </w:pPr>
      <w:r>
        <w:rPr>
          <w:b/>
          <w:bCs/>
          <w:color w:val="534AB7"/>
        </w:rPr>
        <w:t xml:space="preserve">3. A structural risk found while tracing the bug: layered monkey-patching</w:t>
      </w:r>
    </w:p>
    <w:p>
      <w:pPr>
        <w:spacing w:after="160"/>
      </w:pPr>
      <w:r>
        <w:rPr>
          <w:b w:val="false"/>
          <w:bCs w:val="false"/>
          <w:i w:val="false"/>
          <w:iCs w:val="false"/>
          <w:color w:val="5F5E5A"/>
        </w:rPr>
        <w:t xml:space="preserve">Tracing why CLARIFY over-triggers led to a bigger discovery. The engine file defines the same function name multiple times at module level — for example _candidate_preclassification_route appears 4 times, build_qa_v143 and build_lexical_profile_v143 4 times each, and def main( appears 7 times in one 12,261-line file. On its own this looks like abandoned duplicate code (which was the first, wrong theory here — initially compared to July's real session output, dated before this file's most recent edit, which briefly suggested the newer copies might be dead code).</w:t>
      </w:r>
    </w:p>
    <w:p>
      <w:pPr>
        <w:spacing w:after="160"/>
      </w:pPr>
      <w:r>
        <w:rPr>
          <w:b w:val="false"/>
          <w:bCs w:val="false"/>
          <w:i w:val="false"/>
          <w:iCs w:val="false"/>
          <w:color w:val="5F5E5A"/>
        </w:rPr>
        <w:t xml:space="preserve">The actual pattern is more specific than plain duplication: each redefinition first captures the previous definition into a _prev_X variable (e.g. _prev_candidate_preclassification_route_v146_active = _candidate_preclassification_route) before overwriting the name, then the new function calls that captured previous version internally and layers additional logic on top. So every patch since some early “v14.x” version is a live wrapper around the one before it — nothing here is actually dead code, but a reader has to manually trace 3-4 nested indirection layers to know what really executes for any given input. That's exactly what made this bug harder to trace than it should have been, and it's a real risk on its own: the next person to touch this file (human or AI) can very easily edit the wrong layer, or assume an earlier definition is dead when it's actually still load-bearing.</w:t>
      </w:r>
    </w:p>
    <w:p>
      <w:pPr>
        <w:spacing w:after="160"/>
      </w:pPr>
      <w:r>
        <w:rPr>
          <w:i/>
          <w:iCs/>
          <w:color w:val="5F5E5A"/>
          <w:sz w:val="20"/>
          <w:szCs w:val="20"/>
        </w:rPr>
        <w:t xml:space="preserve">Traced concretely: the v15 wrapper at line 6467 only adds a special case for grammar-repair-adjacent vague phrases; it isn't what's misfiring on “health care” / “academic pursuits” / etc. Those aren't grammar-repair candidates, so they fall through to the wrapped v146 layer underneath. The two root vagueness checks that ARE clean — UNIVERSAL_VAGUE_NOUNS and GENERIC_VAGUE_NOUNS — only cover 8 genuinely generic filler words (thing, stuff, kind, something, anything, everything, etc.) and correctly would NOT explain most of the false CLARIFY flags found here. That means the actual over-broad trigger sits further upstream, in whichever function first selects a span as a CLARIFY candidate before this routing function ever sees it — not yet pinpointed in this pass. Finding that exact function is the concrete next step, not a re-guess.</w:t>
      </w:r>
    </w:p>
    <w:p>
      <w:pPr>
        <w:pStyle w:val="Heading1"/>
        <w:spacing w:after="120" w:before="300"/>
      </w:pPr>
      <w:r>
        <w:rPr>
          <w:b/>
          <w:bCs/>
          <w:color w:val="534AB7"/>
        </w:rPr>
        <w:t xml:space="preserve">4. Recommendation</w:t>
      </w:r>
    </w:p>
    <w:p>
      <w:pPr>
        <w:spacing w:after="160"/>
      </w:pPr>
      <w:r>
        <w:rPr>
          <w:b w:val="false"/>
          <w:bCs w:val="false"/>
          <w:i w:val="false"/>
          <w:iCs w:val="false"/>
          <w:color w:val="5F5E5A"/>
        </w:rPr>
        <w:t xml:space="preserve">Don't ship CLARIFY to students as-is. Two honest options, not mutually exclusive:</w:t>
      </w:r>
    </w:p>
    <w:p>
      <w:pPr>
        <w:pStyle w:val="ListParagraph"/>
        <w:numPr>
          <w:ilvl w:val="0"/>
          <w:numId w:val="2"/>
        </w:numPr>
        <w:spacing w:after="80"/>
      </w:pPr>
      <w:r>
        <w:rPr>
          <w:color w:val="5F5E5A"/>
        </w:rPr>
        <w:t xml:space="preserve">Hide CLARIFY from the student-facing view (Word Choice Report / Vocabulary Coach) until the upstream candidate-selection function is found and fixed, while leaving FIX and ENHANCE visible — FIX held up in this sample and ENHANCE's problem (quota-recovery pulling in weak candidates) is narrower and easier to reason about than CLARIFY's.</w:t>
      </w:r>
    </w:p>
    <w:p>
      <w:pPr>
        <w:pStyle w:val="ListParagraph"/>
        <w:numPr>
          <w:ilvl w:val="0"/>
          <w:numId w:val="2"/>
        </w:numPr>
        <w:spacing w:after="80"/>
      </w:pPr>
      <w:r>
        <w:rPr>
          <w:color w:val="5F5E5A"/>
        </w:rPr>
        <w:t xml:space="preserve">Continue the trace: find the actual candidate-extraction function that first proposes a span as “vague” (upstream of _candidate_preclassification_route), following the same _prev_X wrapper-chain method used in this pass, since that's the piece not yet located.</w:t>
      </w:r>
    </w:p>
    <w:p>
      <w:pPr>
        <w:spacing w:after="160"/>
      </w:pPr>
      <w:r>
        <w:rPr>
          <w:b w:val="false"/>
          <w:bCs w:val="false"/>
          <w:i w:val="false"/>
          <w:iCs w:val="false"/>
          <w:color w:val="5F5E5A"/>
        </w:rPr>
        <w:t xml:space="preserve">Either way, re-run this same rating method against a real sample after any fix lands, before turning CLARIFY back on — that's the release-blocking gate LRET_v2_Spec.docx §4 already describes, this audit is just the first real data point for it.</w:t>
      </w:r>
    </w:p>
    <w:p>
      <w:pPr>
        <w:pStyle w:val="Heading1"/>
        <w:spacing w:after="120" w:before="300"/>
      </w:pPr>
      <w:r>
        <w:rPr>
          <w:b/>
          <w:bCs/>
          <w:color w:val="534AB7"/>
        </w:rPr>
        <w:t xml:space="preserve">5. What this unblocks / still blocks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3200"/>
        <w:gridCol w:w="2000"/>
        <w:gridCol w:w="4800"/>
      </w:tblGrid>
      <w:tr>
        <w:tc>
          <w:tcPr>
            <w:tcW w:type="pct" w:w="32%"/>
            <w:shd w:fill="EEEDFE" w:val="clear"/>
            <w:tcMar>
              <w:top w:type="dxa" w:w="80"/>
              <w:left w:type="dxa" w:w="100"/>
              <w:bottom w:type="dxa" w:w="80"/>
              <w:right w:type="dxa" w:w="100"/>
            </w:tcMar>
          </w:tcPr>
          <w:p>
            <w:r>
              <w:rPr>
                <w:b/>
                <w:bCs/>
                <w:color w:val="534AB7"/>
                <w:sz w:val="19"/>
                <w:szCs w:val="19"/>
              </w:rPr>
              <w:t xml:space="preserve">Item</w:t>
            </w:r>
          </w:p>
        </w:tc>
        <w:tc>
          <w:tcPr>
            <w:tcW w:type="pct" w:w="20%"/>
            <w:shd w:fill="EEEDFE" w:val="clear"/>
            <w:tcMar>
              <w:top w:type="dxa" w:w="80"/>
              <w:left w:type="dxa" w:w="100"/>
              <w:bottom w:type="dxa" w:w="80"/>
              <w:right w:type="dxa" w:w="100"/>
            </w:tcMar>
          </w:tcPr>
          <w:p>
            <w:r>
              <w:rPr>
                <w:b/>
                <w:bCs/>
                <w:color w:val="534AB7"/>
                <w:sz w:val="19"/>
                <w:szCs w:val="19"/>
              </w:rPr>
              <w:t xml:space="preserve">Status</w:t>
            </w:r>
          </w:p>
        </w:tc>
        <w:tc>
          <w:tcPr>
            <w:tcW w:type="pct" w:w="48%"/>
            <w:shd w:fill="EEEDFE" w:val="clear"/>
            <w:tcMar>
              <w:top w:type="dxa" w:w="80"/>
              <w:left w:type="dxa" w:w="100"/>
              <w:bottom w:type="dxa" w:w="80"/>
              <w:right w:type="dxa" w:w="100"/>
            </w:tcMar>
          </w:tcPr>
          <w:p>
            <w:r>
              <w:rPr>
                <w:b/>
                <w:bCs/>
                <w:color w:val="534AB7"/>
                <w:sz w:val="19"/>
                <w:szCs w:val="19"/>
              </w:rPr>
              <w:t xml:space="preserve">Note</w:t>
            </w:r>
          </w:p>
        </w:tc>
      </w:tr>
      <w:tr>
        <w:tc>
          <w:tcPr>
            <w:tcW w:type="pct" w:w="32%"/>
            <w:tcMar>
              <w:top w:type="dxa" w:w="80"/>
              <w:left w:type="dxa" w:w="100"/>
              <w:bottom w:type="dxa" w:w="80"/>
              <w:right w:type="dxa" w:w="100"/>
            </w:tcMar>
          </w:tcPr>
          <w:p>
            <w:r>
              <w:rPr>
                <w:color w:val="5F5E5A"/>
                <w:sz w:val="19"/>
                <w:szCs w:val="19"/>
              </w:rPr>
              <w:t xml:space="preserve">FIX</w:t>
            </w:r>
          </w:p>
        </w:tc>
        <w:tc>
          <w:tcPr>
            <w:tcW w:type="pct" w:w="20%"/>
            <w:shd w:fill="E1F5EE" w:val="clear"/>
            <w:tcMar>
              <w:top w:type="dxa" w:w="80"/>
              <w:left w:type="dxa" w:w="100"/>
              <w:bottom w:type="dxa" w:w="80"/>
              <w:right w:type="dxa" w:w="100"/>
            </w:tcMar>
          </w:tcPr>
          <w:p>
            <w:r>
              <w:rPr>
                <w:b/>
                <w:bCs/>
                <w:color w:val="0F6E56"/>
                <w:sz w:val="19"/>
                <w:szCs w:val="19"/>
              </w:rPr>
              <w:t xml:space="preserve">Looks OK</w:t>
            </w:r>
          </w:p>
        </w:tc>
        <w:tc>
          <w:tcPr>
            <w:tcW w:type="pct" w:w="48%"/>
            <w:tcMar>
              <w:top w:type="dxa" w:w="80"/>
              <w:left w:type="dxa" w:w="100"/>
              <w:bottom w:type="dxa" w:w="80"/>
              <w:right w:type="dxa" w:w="100"/>
            </w:tcMar>
          </w:tcPr>
          <w:p>
            <w:r>
              <w:rPr>
                <w:color w:val="5F5E5A"/>
                <w:sz w:val="19"/>
                <w:szCs w:val="19"/>
              </w:rPr>
              <w:t xml:space="preserve">1/1 correct in sample — small n, keep visible, re-check at scale.</w:t>
            </w:r>
          </w:p>
        </w:tc>
      </w:tr>
      <w:tr>
        <w:tc>
          <w:tcPr>
            <w:tcW w:type="pct" w:w="32%"/>
            <w:tcMar>
              <w:top w:type="dxa" w:w="80"/>
              <w:left w:type="dxa" w:w="100"/>
              <w:bottom w:type="dxa" w:w="80"/>
              <w:right w:type="dxa" w:w="100"/>
            </w:tcMar>
          </w:tcPr>
          <w:p>
            <w:r>
              <w:rPr>
                <w:color w:val="5F5E5A"/>
                <w:sz w:val="19"/>
                <w:szCs w:val="19"/>
              </w:rPr>
              <w:t xml:space="preserve">ENHANCE</w:t>
            </w:r>
          </w:p>
        </w:tc>
        <w:tc>
          <w:tcPr>
            <w:tcW w:type="pct" w:w="20%"/>
            <w:shd w:fill="FBF3DE" w:val="clear"/>
            <w:tcMar>
              <w:top w:type="dxa" w:w="80"/>
              <w:left w:type="dxa" w:w="100"/>
              <w:bottom w:type="dxa" w:w="80"/>
              <w:right w:type="dxa" w:w="100"/>
            </w:tcMar>
          </w:tcPr>
          <w:p>
            <w:r>
              <w:rPr>
                <w:b/>
                <w:bCs/>
                <w:color w:val="8A6D1E"/>
                <w:sz w:val="19"/>
                <w:szCs w:val="19"/>
              </w:rPr>
              <w:t xml:space="preserve">Narrower issue</w:t>
            </w:r>
          </w:p>
        </w:tc>
        <w:tc>
          <w:tcPr>
            <w:tcW w:type="pct" w:w="48%"/>
            <w:tcMar>
              <w:top w:type="dxa" w:w="80"/>
              <w:left w:type="dxa" w:w="100"/>
              <w:bottom w:type="dxa" w:w="80"/>
              <w:right w:type="dxa" w:w="100"/>
            </w:tcMar>
          </w:tcPr>
          <w:p>
            <w:r>
              <w:rPr>
                <w:color w:val="5F5E5A"/>
                <w:sz w:val="19"/>
                <w:szCs w:val="19"/>
              </w:rPr>
              <w:t xml:space="preserve">Quota-recovery pulls in weak/oversized candidates on essays with little to enhance.</w:t>
            </w:r>
          </w:p>
        </w:tc>
      </w:tr>
      <w:tr>
        <w:tc>
          <w:tcPr>
            <w:tcW w:type="pct" w:w="32%"/>
            <w:tcMar>
              <w:top w:type="dxa" w:w="80"/>
              <w:left w:type="dxa" w:w="100"/>
              <w:bottom w:type="dxa" w:w="80"/>
              <w:right w:type="dxa" w:w="100"/>
            </w:tcMar>
          </w:tcPr>
          <w:p>
            <w:r>
              <w:rPr>
                <w:color w:val="5F5E5A"/>
                <w:sz w:val="19"/>
                <w:szCs w:val="19"/>
              </w:rPr>
              <w:t xml:space="preserve">CLARIFY</w:t>
            </w:r>
          </w:p>
        </w:tc>
        <w:tc>
          <w:tcPr>
            <w:tcW w:type="pct" w:w="20%"/>
            <w:shd w:fill="FBEAF0" w:val="clear"/>
            <w:tcMar>
              <w:top w:type="dxa" w:w="80"/>
              <w:left w:type="dxa" w:w="100"/>
              <w:bottom w:type="dxa" w:w="80"/>
              <w:right w:type="dxa" w:w="100"/>
            </w:tcMar>
          </w:tcPr>
          <w:p>
            <w:r>
              <w:rPr>
                <w:b/>
                <w:bCs/>
                <w:color w:val="993556"/>
                <w:sz w:val="19"/>
                <w:szCs w:val="19"/>
              </w:rPr>
              <w:t xml:space="preserve">Do not ship as-is</w:t>
            </w:r>
          </w:p>
        </w:tc>
        <w:tc>
          <w:tcPr>
            <w:tcW w:type="pct" w:w="48%"/>
            <w:tcMar>
              <w:top w:type="dxa" w:w="80"/>
              <w:left w:type="dxa" w:w="100"/>
              <w:bottom w:type="dxa" w:w="80"/>
              <w:right w:type="dxa" w:w="100"/>
            </w:tcMar>
          </w:tcPr>
          <w:p>
            <w:r>
              <w:rPr>
                <w:color w:val="5F5E5A"/>
                <w:sz w:val="19"/>
                <w:szCs w:val="19"/>
              </w:rPr>
              <w:t xml:space="preserve">Majority wrong on both audited essays, including a clean one. Recommend hiding until fixed.</w:t>
            </w:r>
          </w:p>
        </w:tc>
      </w:tr>
      <w:tr>
        <w:tc>
          <w:tcPr>
            <w:tcW w:type="pct" w:w="32%"/>
            <w:tcMar>
              <w:top w:type="dxa" w:w="80"/>
              <w:left w:type="dxa" w:w="100"/>
              <w:bottom w:type="dxa" w:w="80"/>
              <w:right w:type="dxa" w:w="100"/>
            </w:tcMar>
          </w:tcPr>
          <w:p>
            <w:r>
              <w:rPr>
                <w:color w:val="5F5E5A"/>
                <w:sz w:val="19"/>
                <w:szCs w:val="19"/>
              </w:rPr>
              <w:t xml:space="preserve">qa.confidence</w:t>
            </w:r>
          </w:p>
        </w:tc>
        <w:tc>
          <w:tcPr>
            <w:tcW w:type="pct" w:w="20%"/>
            <w:shd w:fill="FBEAF0" w:val="clear"/>
            <w:tcMar>
              <w:top w:type="dxa" w:w="80"/>
              <w:left w:type="dxa" w:w="100"/>
              <w:bottom w:type="dxa" w:w="80"/>
              <w:right w:type="dxa" w:w="100"/>
            </w:tcMar>
          </w:tcPr>
          <w:p>
            <w:r>
              <w:rPr>
                <w:b/>
                <w:bCs/>
                <w:color w:val="993556"/>
                <w:sz w:val="19"/>
                <w:szCs w:val="19"/>
              </w:rPr>
              <w:t xml:space="preserve">Not usable yet</w:t>
            </w:r>
          </w:p>
        </w:tc>
        <w:tc>
          <w:tcPr>
            <w:tcW w:type="pct" w:w="48%"/>
            <w:tcMar>
              <w:top w:type="dxa" w:w="80"/>
              <w:left w:type="dxa" w:w="100"/>
              <w:bottom w:type="dxa" w:w="80"/>
              <w:right w:type="dxa" w:w="100"/>
            </w:tcMar>
          </w:tcPr>
          <w:p>
            <w:r>
              <w:rPr>
                <w:color w:val="5F5E5A"/>
                <w:sz w:val="19"/>
                <w:szCs w:val="19"/>
              </w:rPr>
              <w:t xml:space="preserve">Doesn't track correctness — don't wire into priority engine (§5.3) yet.</w:t>
            </w:r>
          </w:p>
        </w:tc>
      </w:tr>
      <w:tr>
        <w:tc>
          <w:tcPr>
            <w:tcW w:type="pct" w:w="32%"/>
            <w:tcMar>
              <w:top w:type="dxa" w:w="80"/>
              <w:left w:type="dxa" w:w="100"/>
              <w:bottom w:type="dxa" w:w="80"/>
              <w:right w:type="dxa" w:w="100"/>
            </w:tcMar>
          </w:tcPr>
          <w:p>
            <w:r>
              <w:rPr>
                <w:color w:val="5F5E5A"/>
                <w:sz w:val="19"/>
                <w:szCs w:val="19"/>
              </w:rPr>
              <w:t xml:space="preserve">Wrapper-chain architecture</w:t>
            </w:r>
          </w:p>
        </w:tc>
        <w:tc>
          <w:tcPr>
            <w:tcW w:type="pct" w:w="20%"/>
            <w:shd w:fill="FBF3DE" w:val="clear"/>
            <w:tcMar>
              <w:top w:type="dxa" w:w="80"/>
              <w:left w:type="dxa" w:w="100"/>
              <w:bottom w:type="dxa" w:w="80"/>
              <w:right w:type="dxa" w:w="100"/>
            </w:tcMar>
          </w:tcPr>
          <w:p>
            <w:r>
              <w:rPr>
                <w:b/>
                <w:bCs/>
                <w:color w:val="8A6D1E"/>
                <w:sz w:val="19"/>
                <w:szCs w:val="19"/>
              </w:rPr>
              <w:t xml:space="preserve">Flagged</w:t>
            </w:r>
          </w:p>
        </w:tc>
        <w:tc>
          <w:tcPr>
            <w:tcW w:type="pct" w:w="48%"/>
            <w:tcMar>
              <w:top w:type="dxa" w:w="80"/>
              <w:left w:type="dxa" w:w="100"/>
              <w:bottom w:type="dxa" w:w="80"/>
              <w:right w:type="dxa" w:w="100"/>
            </w:tcMar>
          </w:tcPr>
          <w:p>
            <w:r>
              <w:rPr>
                <w:color w:val="5F5E5A"/>
                <w:sz w:val="19"/>
                <w:szCs w:val="19"/>
              </w:rPr>
              <w:t xml:space="preserve">Not a bug by itself, but a real maintainability/audit risk — worth its own cleanup pass.</w:t>
            </w:r>
          </w:p>
        </w:tc>
      </w:tr>
      <w:tr>
        <w:tc>
          <w:tcPr>
            <w:tcW w:type="pct" w:w="32%"/>
            <w:tcMar>
              <w:top w:type="dxa" w:w="80"/>
              <w:left w:type="dxa" w:w="100"/>
              <w:bottom w:type="dxa" w:w="80"/>
              <w:right w:type="dxa" w:w="100"/>
            </w:tcMar>
          </w:tcPr>
          <w:p>
            <w:r>
              <w:rPr>
                <w:color w:val="5F5E5A"/>
                <w:sz w:val="19"/>
                <w:szCs w:val="19"/>
              </w:rPr>
              <w:t xml:space="preserve">Vocab Coach → priority engine wiring</w:t>
            </w:r>
          </w:p>
        </w:tc>
        <w:tc>
          <w:tcPr>
            <w:tcW w:type="pct" w:w="20%"/>
            <w:shd w:fill="FBEAF0" w:val="clear"/>
            <w:tcMar>
              <w:top w:type="dxa" w:w="80"/>
              <w:left w:type="dxa" w:w="100"/>
              <w:bottom w:type="dxa" w:w="80"/>
              <w:right w:type="dxa" w:w="100"/>
            </w:tcMar>
          </w:tcPr>
          <w:p>
            <w:r>
              <w:rPr>
                <w:b/>
                <w:bCs/>
                <w:color w:val="993556"/>
                <w:sz w:val="19"/>
                <w:szCs w:val="19"/>
              </w:rPr>
              <w:t xml:space="preserve">Still blocked</w:t>
            </w:r>
          </w:p>
        </w:tc>
        <w:tc>
          <w:tcPr>
            <w:tcW w:type="pct" w:w="48%"/>
            <w:tcMar>
              <w:top w:type="dxa" w:w="80"/>
              <w:left w:type="dxa" w:w="100"/>
              <w:bottom w:type="dxa" w:w="80"/>
              <w:right w:type="dxa" w:w="100"/>
            </w:tcMar>
          </w:tcPr>
          <w:p>
            <w:r>
              <w:rPr>
                <w:color w:val="5F5E5A"/>
                <w:sz w:val="19"/>
                <w:szCs w:val="19"/>
              </w:rPr>
              <w:t xml:space="preserve">Per Pipeline_Frontend_Spec_v2 §6 — wait for CLARIFY fix + re-audit.</w:t>
            </w:r>
          </w:p>
        </w:tc>
      </w:tr>
      <w:tr>
        <w:tc>
          <w:tcPr>
            <w:tcW w:type="pct" w:w="32%"/>
            <w:tcMar>
              <w:top w:type="dxa" w:w="80"/>
              <w:left w:type="dxa" w:w="100"/>
              <w:bottom w:type="dxa" w:w="80"/>
              <w:right w:type="dxa" w:w="100"/>
            </w:tcMar>
          </w:tcPr>
          <w:p>
            <w:r>
              <w:rPr>
                <w:color w:val="5F5E5A"/>
                <w:sz w:val="19"/>
                <w:szCs w:val="19"/>
              </w:rPr>
              <w:t xml:space="preserve">Paragraph-argument check</w:t>
            </w:r>
          </w:p>
        </w:tc>
        <w:tc>
          <w:tcPr>
            <w:tcW w:type="pct" w:w="20%"/>
            <w:shd w:fill="FBEAF0" w:val="clear"/>
            <w:tcMar>
              <w:top w:type="dxa" w:w="80"/>
              <w:left w:type="dxa" w:w="100"/>
              <w:bottom w:type="dxa" w:w="80"/>
              <w:right w:type="dxa" w:w="100"/>
            </w:tcMar>
          </w:tcPr>
          <w:p>
            <w:r>
              <w:rPr>
                <w:b/>
                <w:bCs/>
                <w:color w:val="993556"/>
                <w:sz w:val="19"/>
                <w:szCs w:val="19"/>
              </w:rPr>
              <w:t xml:space="preserve">Still blocked</w:t>
            </w:r>
          </w:p>
        </w:tc>
        <w:tc>
          <w:tcPr>
            <w:tcW w:type="pct" w:w="48%"/>
            <w:tcMar>
              <w:top w:type="dxa" w:w="80"/>
              <w:left w:type="dxa" w:w="100"/>
              <w:bottom w:type="dxa" w:w="80"/>
              <w:right w:type="dxa" w:w="100"/>
            </w:tcMar>
          </w:tcPr>
          <w:p>
            <w:r>
              <w:rPr>
                <w:color w:val="5F5E5A"/>
                <w:sz w:val="19"/>
                <w:szCs w:val="19"/>
              </w:rPr>
              <w:t xml:space="preserve">Per Pipeline_Frontend_Spec_v2 §5 — same reason.</w:t>
            </w:r>
          </w:p>
        </w:tc>
      </w:tr>
    </w:tbl>
    <w:p>
      <w:pPr>
        <w:spacing w:before="200"/>
      </w:pPr>
    </w:p>
    <w:p>
      <w:pPr>
        <w:spacing w:after="160"/>
      </w:pPr>
      <w:r>
        <w:rPr>
          <w:i/>
          <w:iCs/>
          <w:color w:val="5F5E5A"/>
          <w:sz w:val="20"/>
          <w:szCs w:val="20"/>
        </w:rPr>
        <w:t xml:space="preserve">Comment wherever you want a different call — in particular whether to hide CLARIFY now versus waiting for the upstream fix before touching the UI at all.</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2026-07-22T13:33:18.738Z</dcterms:created>
  <dcterms:modified xsi:type="dcterms:W3CDTF">2026-07-22T13:33:18.739Z</dcterms:modified>
</cp:coreProperties>
</file>

<file path=docProps/custom.xml><?xml version="1.0" encoding="utf-8"?>
<Properties xmlns="http://schemas.openxmlformats.org/officeDocument/2006/custom-properties" xmlns:vt="http://schemas.openxmlformats.org/officeDocument/2006/docPropsVTypes"/>
</file>