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34AB7"/>
          <w:sz w:val="22"/>
          <w:szCs w:val="22"/>
        </w:rPr>
        <w:t xml:space="preserve">ST.ELLA — Product &amp; Pipeline Spec</w:t>
      </w:r>
    </w:p>
    <w:p>
      <w:pPr>
        <w:pStyle w:val="Title"/>
        <w:spacing w:after="80"/>
      </w:pPr>
      <w:r>
        <w:rPr>
          <w:b/>
          <w:bCs/>
          <w:color w:val="2C2C2A"/>
          <w:sz w:val="40"/>
          <w:szCs w:val="40"/>
        </w:rPr>
        <w:t xml:space="preserve">Full Pipeline / Frontend Spec v2</w:t>
      </w:r>
    </w:p>
    <w:p>
      <w:pPr>
        <w:spacing w:after="160"/>
      </w:pPr>
      <w:r>
        <w:rPr>
          <w:b w:val="false"/>
          <w:bCs w:val="false"/>
          <w:i/>
          <w:iCs/>
          <w:color w:val="5F5E5A"/>
        </w:rPr>
        <w:t xml:space="preserve">Supersedes the nav and Vocabulary Coach decisions in ST_ELLA_Student_Journey_v1; adds session feedback, daily digest, the mechanical-use-vs-mastery principle, and cross-engine signal wiring.</w:t>
      </w:r>
    </w:p>
    <w:p>
      <w:pPr>
        <w:spacing w:after="160"/>
      </w:pPr>
      <w:r>
        <w:rPr>
          <w:i/>
          <w:iCs/>
          <w:color w:val="5F5E5A"/>
          <w:sz w:val="20"/>
          <w:szCs w:val="20"/>
        </w:rPr>
        <w:t xml:space="preserve">Draft for comment — July 2026. Companion document: LRET_v2_Spec.docx covers the LRET-specific detail referenced in §2 and §6.</w:t>
      </w:r>
    </w:p>
    <w:p>
      <w:pPr>
        <w:pStyle w:val="Heading1"/>
        <w:spacing w:after="120" w:before="300"/>
      </w:pPr>
      <w:r>
        <w:rPr>
          <w:b/>
          <w:bCs/>
          <w:color w:val="534AB7"/>
        </w:rPr>
        <w:t xml:space="preserve">0. How this relates to v1</w:t>
      </w:r>
    </w:p>
    <w:p>
      <w:pPr>
        <w:spacing w:after="160"/>
      </w:pPr>
      <w:r>
        <w:rPr>
          <w:b w:val="false"/>
          <w:bCs w:val="false"/>
          <w:i w:val="false"/>
          <w:iCs w:val="false"/>
          <w:color w:val="5F5E5A"/>
        </w:rPr>
        <w:t xml:space="preserve">v1 (ST_ELLA_Student_Journey_v1.docx) asked eight open questions and gave a recommendation for each, none built. Since then we've talked through the answers in detail and several changed shape — most importantly, LRET moves out of the Vocabulary Coach page entirely, and Vocabulary Coach becomes a mastery view rather than a diagnostic dump. This document replaces v1's §2 and §4.1–4.5 with finalized decisions, and adds four sections v1 didn't cover at all: session-level feedback, a daily digest, a mechanical-use-vs-mastery principle applied pipeline-wide, and the cross-engine signal wiring from Vocabulary Coach into Practice Engine and Writing Coach.</w:t>
      </w:r>
    </w:p>
    <w:p>
      <w:pPr>
        <w:pStyle w:val="Heading1"/>
        <w:spacing w:after="120" w:before="300"/>
      </w:pPr>
      <w:r>
        <w:rPr>
          <w:b/>
          <w:bCs/>
          <w:color w:val="534AB7"/>
        </w:rPr>
        <w:t xml:space="preserve">1. Navigation — finalized</w:t>
      </w:r>
    </w:p>
    <w:p>
      <w:pPr>
        <w:spacing w:after="160"/>
      </w:pPr>
      <w:r>
        <w:rPr>
          <w:b w:val="false"/>
          <w:bCs w:val="false"/>
          <w:i w:val="false"/>
          <w:iCs w:val="false"/>
          <w:color w:val="5F5E5A"/>
        </w:rPr>
        <w:t xml:space="preserve">Top level, every student: Dashboard · Writing · Progress. Added later, per plan/roadmap: Speaking · Reading · Critical Thinking Coach, each a sibling to Writing rather than more items crammed into one bar.</w:t>
      </w:r>
    </w:p>
    <w:p>
      <w:pPr>
        <w:spacing w:after="160"/>
      </w:pPr>
      <w:r>
        <w:rPr>
          <w:b w:val="false"/>
          <w:bCs w:val="false"/>
          <w:i w:val="false"/>
          <w:iCs w:val="false"/>
          <w:color w:val="5F5E5A"/>
        </w:rPr>
        <w:t xml:space="preserve">“Writing” opens a hub page with cards, spelled out in full — not abbreviated to “Coach” or “Vocabulary” as today's build does:</w:t>
      </w:r>
    </w:p>
    <w:p>
      <w:pPr>
        <w:pStyle w:val="ListParagraph"/>
        <w:numPr>
          <w:ilvl w:val="0"/>
          <w:numId w:val="2"/>
        </w:numPr>
        <w:spacing w:after="80"/>
      </w:pPr>
      <w:r>
        <w:rPr>
          <w:color w:val="5F5E5A"/>
        </w:rPr>
        <w:t xml:space="preserve">Submit an essay</w:t>
      </w:r>
    </w:p>
    <w:p>
      <w:pPr>
        <w:pStyle w:val="ListParagraph"/>
        <w:numPr>
          <w:ilvl w:val="0"/>
          <w:numId w:val="2"/>
        </w:numPr>
        <w:spacing w:after="80"/>
      </w:pPr>
      <w:r>
        <w:rPr>
          <w:color w:val="5F5E5A"/>
        </w:rPr>
        <w:t xml:space="preserve">Vocabulary Coach</w:t>
      </w:r>
    </w:p>
    <w:p>
      <w:pPr>
        <w:pStyle w:val="ListParagraph"/>
        <w:numPr>
          <w:ilvl w:val="0"/>
          <w:numId w:val="2"/>
        </w:numPr>
        <w:spacing w:after="80"/>
      </w:pPr>
      <w:r>
        <w:rPr>
          <w:color w:val="5F5E5A"/>
        </w:rPr>
        <w:t xml:space="preserve">Writing Coach</w:t>
      </w:r>
    </w:p>
    <w:p>
      <w:pPr>
        <w:pStyle w:val="ListParagraph"/>
        <w:numPr>
          <w:ilvl w:val="0"/>
          <w:numId w:val="2"/>
        </w:numPr>
        <w:spacing w:after="80"/>
      </w:pPr>
      <w:r>
        <w:rPr>
          <w:color w:val="5F5E5A"/>
        </w:rPr>
        <w:t xml:space="preserve">Practice</w:t>
      </w:r>
    </w:p>
    <w:p>
      <w:pPr>
        <w:pStyle w:val="ListParagraph"/>
        <w:numPr>
          <w:ilvl w:val="0"/>
          <w:numId w:val="2"/>
        </w:numPr>
        <w:spacing w:after="80"/>
      </w:pPr>
      <w:r>
        <w:rPr>
          <w:color w:val="5F5E5A"/>
        </w:rPr>
        <w:t xml:space="preserve">Study plan (Gold)</w:t>
      </w:r>
    </w:p>
    <w:p>
      <w:pPr>
        <w:spacing w:after="160"/>
      </w:pPr>
      <w:r>
        <w:rPr>
          <w:b w:val="false"/>
          <w:bCs w:val="false"/>
          <w:i w:val="false"/>
          <w:iCs w:val="false"/>
          <w:color w:val="5F5E5A"/>
        </w:rPr>
        <w:t xml:space="preserve">Essay Revision is deliberately not a hub card. It's anchored immediately below the feedback report once an essay is evaluated — visible as the obvious next step, not something reached by hunting for a “Revise” button. LRET's classified output moves to sit alongside it, in the same place, for the same reason: both are diagnostic to one specific essay, not standing destinations.</w:t>
      </w:r>
    </w:p>
    <w:p>
      <w:pPr>
        <w:spacing w:after="160"/>
      </w:pPr>
      <w:r>
        <w:rPr>
          <w:b w:val="false"/>
          <w:bCs w:val="false"/>
          <w:i w:val="false"/>
          <w:iCs w:val="false"/>
          <w:color w:val="5F5E5A"/>
        </w:rPr>
        <w:t xml:space="preserve">Engine descriptions: first visit to any engine shows a short modal — 2–3 sentences, then 3 plain-language bullets of what it does, one “Got it” button. Every visit after that, the modal doesn't auto-show; a small “?” near the page title reopens the same content on demand. This needs a persistence flag stored server-side per student per engine, not browser localStorage, since students commonly switch devices.</w:t>
      </w:r>
    </w:p>
    <w:p>
      <w:pPr>
        <w:pStyle w:val="Heading1"/>
        <w:spacing w:after="120" w:before="300"/>
      </w:pPr>
      <w:r>
        <w:rPr>
          <w:b/>
          <w:bCs/>
          <w:color w:val="534AB7"/>
        </w:rPr>
        <w:t xml:space="preserve">2. Vocabulary Coach, redefined</w:t>
      </w:r>
    </w:p>
    <w:p>
      <w:pPr>
        <w:spacing w:after="160"/>
      </w:pPr>
      <w:r>
        <w:rPr>
          <w:b w:val="false"/>
          <w:bCs w:val="false"/>
          <w:i w:val="false"/>
          <w:iCs w:val="false"/>
          <w:color w:val="5F5E5A"/>
        </w:rPr>
        <w:t xml:space="preserve">Today's Vocabulary Coach page shows LRET's raw FIX/ENHANCE/CLARIFY/KEEP output. That moves out (§1). What replaces it is a mastery view, and most of the data it needs already exists rather than needing to be invented:</w:t>
      </w:r>
    </w:p>
    <w:p>
      <w:pPr>
        <w:pStyle w:val="ListParagraph"/>
        <w:numPr>
          <w:ilvl w:val="0"/>
          <w:numId w:val="2"/>
        </w:numPr>
        <w:spacing w:after="80"/>
      </w:pPr>
      <w:r>
        <w:rPr>
          <w:color w:val="5F5E5A"/>
        </w:rPr>
        <w:t xml:space="preserve">Leitner box distribution — new / box_1 / box_2 / box_3 / mastered — already computed by the profile builder's vocabulary_coach_summary.</w:t>
      </w:r>
    </w:p>
    <w:p>
      <w:pPr>
        <w:pStyle w:val="ListParagraph"/>
        <w:numPr>
          <w:ilvl w:val="0"/>
          <w:numId w:val="2"/>
        </w:numPr>
        <w:spacing w:after="80"/>
      </w:pPr>
      <w:r>
        <w:rPr>
          <w:color w:val="5F5E5A"/>
        </w:rPr>
        <w:t xml:space="preserve">Due-for-review queue — anything due in box_1/2/3, from the existing ledger.</w:t>
      </w:r>
    </w:p>
    <w:p>
      <w:pPr>
        <w:pStyle w:val="ListParagraph"/>
        <w:numPr>
          <w:ilvl w:val="0"/>
          <w:numId w:val="2"/>
        </w:numPr>
        <w:spacing w:after="80"/>
      </w:pPr>
      <w:r>
        <w:rPr>
          <w:color w:val="5F5E5A"/>
        </w:rPr>
        <w:t xml:space="preserve">Recently mastered — already computed (top 5).</w:t>
      </w:r>
    </w:p>
    <w:p>
      <w:pPr>
        <w:pStyle w:val="ListParagraph"/>
        <w:numPr>
          <w:ilvl w:val="0"/>
          <w:numId w:val="2"/>
        </w:numPr>
        <w:spacing w:after="80"/>
      </w:pPr>
      <w:r>
        <w:rPr>
          <w:color w:val="5F5E5A"/>
        </w:rPr>
        <w:t xml:space="preserve">Daily PEEL practice — unchanged, already built and live.</w:t>
      </w:r>
    </w:p>
    <w:p>
      <w:pPr>
        <w:spacing w:after="160"/>
      </w:pPr>
      <w:r>
        <w:rPr>
          <w:b w:val="false"/>
          <w:bCs w:val="false"/>
          <w:i w:val="false"/>
          <w:iCs w:val="false"/>
          <w:color w:val="5F5E5A"/>
        </w:rPr>
        <w:t xml:space="preserve">New: a vocabulary bank — a running count of words and collocations the student has genuinely used correctly, aggregated across essays, PEEL sessions, Practice Engine, and Essay Revision. “Genuinely” is the operative word: it only credits a word when the grader's verdict is used_correctly, never on mere presence, which is already how the anti-gaming design works today (a mechanical string match can only ever produce not_used; real credit requires the semantic check). This is a rollup of an existing rule, not a new one.</w:t>
      </w:r>
    </w:p>
    <w:p>
      <w:pPr>
        <w:spacing w:after="160"/>
      </w:pPr>
      <w:r>
        <w:rPr>
          <w:b w:val="false"/>
          <w:bCs w:val="false"/>
          <w:i w:val="false"/>
          <w:iCs w:val="false"/>
          <w:color w:val="5F5E5A"/>
        </w:rPr>
        <w:t xml:space="preserve">Scope stays narrow and explicit: Vocabulary Coach judges contextual and collocational fit of the target lexis only — does the word mean what the student intended, does it collocate naturally, is the register right. It does not judge argumentation, grammar beyond the target item, or paragraph cohesion. Those stay with Essay Revision, Writing Coach, and the Evaluator, which already own that territory at the essay level.</w:t>
      </w:r>
    </w:p>
    <w:p>
      <w:pPr>
        <w:pStyle w:val="Heading1"/>
        <w:spacing w:after="120" w:before="300"/>
      </w:pPr>
      <w:r>
        <w:rPr>
          <w:b/>
          <w:bCs/>
          <w:color w:val="534AB7"/>
        </w:rPr>
        <w:t xml:space="preserve">3. Session-level feedback (new)</w:t>
      </w:r>
    </w:p>
    <w:p>
      <w:pPr>
        <w:spacing w:after="160"/>
      </w:pPr>
      <w:r>
        <w:rPr>
          <w:b w:val="false"/>
          <w:bCs w:val="false"/>
          <w:i w:val="false"/>
          <w:iCs w:val="false"/>
          <w:color w:val="5F5E5A"/>
        </w:rPr>
        <w:t xml:space="preserve">Every engine (Practice, Vocabulary Coach/PEEL, Writing Coach) currently only gives feedback per item — one exercise, one mission, one PEEL paragraph — with nothing summarizing a whole sitting. This is pure aggregation, not new grading: each engine already logs every item's result, so a session recap reads what's already written and rolls it up (attempted, went well, to work on) rather than requiring any new judgment call. Low risk, should ship early.</w:t>
      </w:r>
    </w:p>
    <w:p>
      <w:pPr>
        <w:pStyle w:val="Heading1"/>
        <w:spacing w:after="120" w:before="300"/>
      </w:pPr>
      <w:r>
        <w:rPr>
          <w:b/>
          <w:bCs/>
          <w:color w:val="534AB7"/>
        </w:rPr>
        <w:t xml:space="preserve">4. Daily cross-engine digest (new)</w:t>
      </w:r>
    </w:p>
    <w:p>
      <w:pPr>
        <w:spacing w:after="160"/>
      </w:pPr>
      <w:r>
        <w:rPr>
          <w:b w:val="false"/>
          <w:bCs w:val="false"/>
          <w:i w:val="false"/>
          <w:iCs w:val="false"/>
          <w:color w:val="5F5E5A"/>
        </w:rPr>
        <w:t xml:space="preserve">A closing summary shown once per day, pulling across every engine used that day: “Today was a good day! You completed 4 exercises, 3 writing missions, and learned 3 new words. Work on collocations with 'despite' next time. See you tomorrow!” This needs one new piece of plumbing the session recap doesn't: a shared activity-log format so Practice, PEEL, and Writing Coach outputs can be read together in one place rather than each engine's log staying in its own shape. Everything else is aggregation.</w:t>
      </w:r>
    </w:p>
    <w:p>
      <w:pPr>
        <w:pStyle w:val="Heading1"/>
        <w:spacing w:after="120" w:before="300"/>
      </w:pPr>
      <w:r>
        <w:rPr>
          <w:b/>
          <w:bCs/>
          <w:color w:val="534AB7"/>
        </w:rPr>
        <w:t xml:space="preserve">5. Mechanical use vs. mastery — one principle, applied everywhere</w:t>
      </w:r>
    </w:p>
    <w:p>
      <w:pPr>
        <w:spacing w:after="160"/>
      </w:pPr>
      <w:r>
        <w:rPr>
          <w:b w:val="false"/>
          <w:bCs w:val="false"/>
          <w:i w:val="false"/>
          <w:iCs w:val="false"/>
          <w:color w:val="5F5E5A"/>
        </w:rPr>
        <w:t xml:space="preserve">The distinction that started this conversation: completing an item is not the same as having the skill. It already has real teeth in one place and not in others.</w:t>
      </w:r>
    </w:p>
    <w:p>
      <w:pPr>
        <w:pStyle w:val="ListParagraph"/>
        <w:numPr>
          <w:ilvl w:val="0"/>
          <w:numId w:val="2"/>
        </w:numPr>
        <w:spacing w:after="80"/>
      </w:pPr>
      <w:r>
        <w:rPr>
          <w:color w:val="5F5E5A"/>
        </w:rPr>
        <w:t xml:space="preserve">Vocabulary (word/collocation level): already solid. A word only reaches “mastered” after it survives a spaced retest in the Leitner system, not after first correct use — so a lucky one-off insertion can't be mislabeled as mastery.</w:t>
      </w:r>
    </w:p>
    <w:p>
      <w:pPr>
        <w:pStyle w:val="ListParagraph"/>
        <w:numPr>
          <w:ilvl w:val="0"/>
          <w:numId w:val="2"/>
        </w:numPr>
        <w:spacing w:after="80"/>
      </w:pPr>
      <w:r>
        <w:rPr>
          <w:color w:val="5F5E5A"/>
        </w:rPr>
        <w:t xml:space="preserve">Essay-level argumentation and sentence control: already solid, via the Evaluator's real per-sentence function-fit signal and the Scorer's rubric mapping — built for exactly this, and already live.</w:t>
      </w:r>
    </w:p>
    <w:p>
      <w:pPr>
        <w:pStyle w:val="ListParagraph"/>
        <w:numPr>
          <w:ilvl w:val="0"/>
          <w:numId w:val="2"/>
        </w:numPr>
        <w:spacing w:after="80"/>
      </w:pPr>
      <w:r>
        <w:rPr>
          <w:color w:val="5F5E5A"/>
        </w:rPr>
        <w:t xml:space="preserve">Paragraph-level (a single PEEL response, a single practice item, a single mission): the real gap. Nothing today checks whether a paragraph actually functions as an argument versus just containing the right words in the right slots.</w:t>
      </w:r>
    </w:p>
    <w:p>
      <w:pPr>
        <w:spacing w:after="160"/>
      </w:pPr>
      <w:r>
        <w:rPr>
          <w:b w:val="false"/>
          <w:bCs w:val="false"/>
          <w:i w:val="false"/>
          <w:iCs w:val="false"/>
          <w:color w:val="5F5E5A"/>
        </w:rPr>
        <w:t xml:space="preserve">The fix is not to grade every micro-item as deeply as a full essay — that's the wrong grain size, too slow and too expensive for something meant to run many times a day, and a one-sentence mission genuinely isn't trying to test argumentation. The one place a paragraph-level “does this work as an argument” check is proportionate is a full PEEL submission, since it's a whole paragraph, not a single word slot. If built, it belongs to Essay Revision or Writing Coach territory, not Vocabulary Coach — Vocabulary Coach's scope stays lexical only (§2) — and it should be sequenced after the LRET accuracy audit and after Vocabulary Coach's own verdict signal is checked for reliability, so we're not stacking a third unvalidated judgment layer on top of two others.</w:t>
      </w:r>
    </w:p>
    <w:p>
      <w:pPr>
        <w:pStyle w:val="Heading1"/>
        <w:spacing w:after="120" w:before="300"/>
      </w:pPr>
      <w:r>
        <w:rPr>
          <w:b/>
          <w:bCs/>
          <w:color w:val="534AB7"/>
        </w:rPr>
        <w:t xml:space="preserve">6. Cross-engine signal wiring: Vocabulary Coach → Practice Engine / Writing Coach</w:t>
      </w:r>
    </w:p>
    <w:p>
      <w:pPr>
        <w:spacing w:after="160"/>
      </w:pPr>
      <w:r>
        <w:rPr>
          <w:b w:val="false"/>
          <w:bCs w:val="false"/>
          <w:i w:val="false"/>
          <w:iCs w:val="false"/>
          <w:color w:val="5F5E5A"/>
        </w:rPr>
        <w:t xml:space="preserve">Today the bias only runs one direction: LRET's family tally from the essay biases what Vocabulary Coach selects next. The reverse — Vocabulary Coach's own contextual-fit verdicts shaping what Practice Engine drills and what Writing Coach mission gets picked — doesn't exist yet, but the architecture it would plug into already does: the priority engine (priority_input_builder) already exists specifically to route signals from one engine to downstream ones, and Evaluator output already flows through it this same way.</w:t>
      </w:r>
    </w:p>
    <w:p>
      <w:pPr>
        <w:spacing w:after="160"/>
      </w:pPr>
      <w:r>
        <w:rPr>
          <w:b w:val="false"/>
          <w:bCs w:val="false"/>
          <w:i w:val="false"/>
          <w:iCs w:val="false"/>
          <w:color w:val="5F5E5A"/>
        </w:rPr>
        <w:t xml:space="preserve">Checked directly in the code: priority_input_builder does not reference LRET anywhere today, so this is a genuinely open gap, not something partially wired already. Before connecting it, the signal needs to be aggregated at the family level (not “this one word was wrong”), needs_review must be excluded entirely since it means “unverified,” not “wrong,” and used_but_awkward should weight differently from attempted_incorrectly since one is partial competence and the other is a real gap. See the companion LRET spec, §5.3, for the matching essay-side half of this same wiring.</w:t>
      </w:r>
    </w:p>
    <w:p>
      <w:pPr>
        <w:pStyle w:val="Heading1"/>
        <w:spacing w:after="120" w:before="300"/>
      </w:pPr>
      <w:r>
        <w:rPr>
          <w:b/>
          <w:bCs/>
          <w:color w:val="534AB7"/>
        </w:rPr>
        <w:t xml:space="preserve">7. Release-only items (not for the pilot)</w:t>
      </w:r>
    </w:p>
    <w:p>
      <w:pPr>
        <w:spacing w:after="160"/>
      </w:pPr>
      <w:r>
        <w:rPr>
          <w:b w:val="false"/>
          <w:bCs w:val="false"/>
          <w:i w:val="false"/>
          <w:iCs w:val="false"/>
          <w:color w:val="5F5E5A"/>
        </w:rPr>
        <w:t xml:space="preserve">Payment as part of first entry — a plan-selection/payment step before dashboard access — applies to the released product, not the current pilot build. Logged here so it isn't lost, not scheduled against the pilot timeline.</w:t>
      </w:r>
    </w:p>
    <w:p>
      <w:pPr>
        <w:pStyle w:val="Heading1"/>
        <w:spacing w:after="120" w:before="300"/>
      </w:pPr>
      <w:r>
        <w:rPr>
          <w:b/>
          <w:bCs/>
          <w:color w:val="534AB7"/>
        </w:rPr>
        <w:t xml:space="preserve">8. Lower-priority items carried over from v1</w:t>
      </w:r>
    </w:p>
    <w:p>
      <w:pPr>
        <w:pStyle w:val="ListParagraph"/>
        <w:numPr>
          <w:ilvl w:val="0"/>
          <w:numId w:val="2"/>
        </w:numPr>
        <w:spacing w:after="80"/>
      </w:pPr>
      <w:r>
        <w:rPr>
          <w:color w:val="5F5E5A"/>
        </w:rPr>
        <w:t xml:space="preserve">An “about us” page — worth having, low priority. Builds trust for an unfamiliar ed-tech product; keep it brief.</w:t>
      </w:r>
    </w:p>
    <w:p>
      <w:pPr>
        <w:pStyle w:val="ListParagraph"/>
        <w:numPr>
          <w:ilvl w:val="0"/>
          <w:numId w:val="2"/>
        </w:numPr>
        <w:spacing w:after="80"/>
      </w:pPr>
      <w:r>
        <w:rPr>
          <w:color w:val="5F5E5A"/>
        </w:rPr>
        <w:t xml:space="preserve">Success stories / testimonials — collect via an honest, explicit-context opt-in prompt after a student reports reaching their goal band (“used ST.ELLA for writing/vocabulary practice alongside my prep course”), reviewed manually before anything is published. Avoid bare “5.5 to 7.5” claims, since score change can't be attributed to one tool alone.</w:t>
      </w:r>
    </w:p>
    <w:p>
      <w:pPr>
        <w:pStyle w:val="Heading1"/>
        <w:spacing w:after="120" w:before="300"/>
      </w:pPr>
      <w:r>
        <w:rPr>
          <w:b/>
          <w:bCs/>
          <w:color w:val="534AB7"/>
        </w:rPr>
        <w:t xml:space="preserve">9. Status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3200"/>
        <w:gridCol w:w="2000"/>
        <w:gridCol w:w="4800"/>
      </w:tblGrid>
      <w:tr>
        <w:tc>
          <w:tcPr>
            <w:tcW w:type="pct" w:w="32%"/>
            <w:shd w:fill="EEEDFE" w:val="clear"/>
            <w:tcMar>
              <w:top w:type="dxa" w:w="80"/>
              <w:left w:type="dxa" w:w="100"/>
              <w:bottom w:type="dxa" w:w="80"/>
              <w:right w:type="dxa" w:w="100"/>
            </w:tcMar>
          </w:tcPr>
          <w:p>
            <w:r>
              <w:rPr>
                <w:b/>
                <w:bCs/>
                <w:color w:val="534AB7"/>
                <w:sz w:val="19"/>
                <w:szCs w:val="19"/>
              </w:rPr>
              <w:t xml:space="preserve">Item</w:t>
            </w:r>
          </w:p>
        </w:tc>
        <w:tc>
          <w:tcPr>
            <w:tcW w:type="pct" w:w="20%"/>
            <w:shd w:fill="EEEDFE" w:val="clear"/>
            <w:tcMar>
              <w:top w:type="dxa" w:w="80"/>
              <w:left w:type="dxa" w:w="100"/>
              <w:bottom w:type="dxa" w:w="80"/>
              <w:right w:type="dxa" w:w="100"/>
            </w:tcMar>
          </w:tcPr>
          <w:p>
            <w:r>
              <w:rPr>
                <w:b/>
                <w:bCs/>
                <w:color w:val="534AB7"/>
                <w:sz w:val="19"/>
                <w:szCs w:val="19"/>
              </w:rPr>
              <w:t xml:space="preserve">Status</w:t>
            </w:r>
          </w:p>
        </w:tc>
        <w:tc>
          <w:tcPr>
            <w:tcW w:type="pct" w:w="48%"/>
            <w:shd w:fill="EEEDFE" w:val="clear"/>
            <w:tcMar>
              <w:top w:type="dxa" w:w="80"/>
              <w:left w:type="dxa" w:w="100"/>
              <w:bottom w:type="dxa" w:w="80"/>
              <w:right w:type="dxa" w:w="100"/>
            </w:tcMar>
          </w:tcPr>
          <w:p>
            <w:r>
              <w:rPr>
                <w:b/>
                <w:bCs/>
                <w:color w:val="534AB7"/>
                <w:sz w:val="19"/>
                <w:szCs w:val="19"/>
              </w:rPr>
              <w:t xml:space="preserve">Note</w:t>
            </w:r>
          </w:p>
        </w:tc>
      </w:tr>
      <w:tr>
        <w:tc>
          <w:tcPr>
            <w:tcW w:type="pct" w:w="32%"/>
            <w:tcMar>
              <w:top w:type="dxa" w:w="80"/>
              <w:left w:type="dxa" w:w="100"/>
              <w:bottom w:type="dxa" w:w="80"/>
              <w:right w:type="dxa" w:w="100"/>
            </w:tcMar>
          </w:tcPr>
          <w:p>
            <w:r>
              <w:rPr>
                <w:color w:val="5F5E5A"/>
                <w:sz w:val="19"/>
                <w:szCs w:val="19"/>
              </w:rPr>
              <w:t xml:space="preserve">Nav restructure (§1)</w:t>
            </w:r>
          </w:p>
        </w:tc>
        <w:tc>
          <w:tcPr>
            <w:tcW w:type="pct" w:w="20%"/>
            <w:shd w:fill="E1F5EE" w:val="clear"/>
            <w:tcMar>
              <w:top w:type="dxa" w:w="80"/>
              <w:left w:type="dxa" w:w="100"/>
              <w:bottom w:type="dxa" w:w="80"/>
              <w:right w:type="dxa" w:w="100"/>
            </w:tcMar>
          </w:tcPr>
          <w:p>
            <w:r>
              <w:rPr>
                <w:b/>
                <w:bCs/>
                <w:color w:val="0F6E56"/>
                <w:sz w:val="19"/>
                <w:szCs w:val="19"/>
              </w:rPr>
              <w:t xml:space="preserve">Decided</w:t>
            </w:r>
          </w:p>
        </w:tc>
        <w:tc>
          <w:tcPr>
            <w:tcW w:type="pct" w:w="48%"/>
            <w:tcMar>
              <w:top w:type="dxa" w:w="80"/>
              <w:left w:type="dxa" w:w="100"/>
              <w:bottom w:type="dxa" w:w="80"/>
              <w:right w:type="dxa" w:w="100"/>
            </w:tcMar>
          </w:tcPr>
          <w:p>
            <w:r>
              <w:rPr>
                <w:color w:val="5F5E5A"/>
                <w:sz w:val="19"/>
                <w:szCs w:val="19"/>
              </w:rPr>
              <w:t xml:space="preserve">Ready to build against this doc once commented.</w:t>
            </w:r>
          </w:p>
        </w:tc>
      </w:tr>
      <w:tr>
        <w:tc>
          <w:tcPr>
            <w:tcW w:type="pct" w:w="32%"/>
            <w:tcMar>
              <w:top w:type="dxa" w:w="80"/>
              <w:left w:type="dxa" w:w="100"/>
              <w:bottom w:type="dxa" w:w="80"/>
              <w:right w:type="dxa" w:w="100"/>
            </w:tcMar>
          </w:tcPr>
          <w:p>
            <w:r>
              <w:rPr>
                <w:color w:val="5F5E5A"/>
                <w:sz w:val="19"/>
                <w:szCs w:val="19"/>
              </w:rPr>
              <w:t xml:space="preserve">Vocabulary Coach mastery view (§2)</w:t>
            </w:r>
          </w:p>
        </w:tc>
        <w:tc>
          <w:tcPr>
            <w:tcW w:type="pct" w:w="20%"/>
            <w:shd w:fill="E1F5EE" w:val="clear"/>
            <w:tcMar>
              <w:top w:type="dxa" w:w="80"/>
              <w:left w:type="dxa" w:w="100"/>
              <w:bottom w:type="dxa" w:w="80"/>
              <w:right w:type="dxa" w:w="100"/>
            </w:tcMar>
          </w:tcPr>
          <w:p>
            <w:r>
              <w:rPr>
                <w:b/>
                <w:bCs/>
                <w:color w:val="0F6E56"/>
                <w:sz w:val="19"/>
                <w:szCs w:val="19"/>
              </w:rPr>
              <w:t xml:space="preserve">Decided</w:t>
            </w:r>
          </w:p>
        </w:tc>
        <w:tc>
          <w:tcPr>
            <w:tcW w:type="pct" w:w="48%"/>
            <w:tcMar>
              <w:top w:type="dxa" w:w="80"/>
              <w:left w:type="dxa" w:w="100"/>
              <w:bottom w:type="dxa" w:w="80"/>
              <w:right w:type="dxa" w:w="100"/>
            </w:tcMar>
          </w:tcPr>
          <w:p>
            <w:r>
              <w:rPr>
                <w:color w:val="5F5E5A"/>
                <w:sz w:val="19"/>
                <w:szCs w:val="19"/>
              </w:rPr>
              <w:t xml:space="preserve">Most data already exists (ledger, profile builder).</w:t>
            </w:r>
          </w:p>
        </w:tc>
      </w:tr>
      <w:tr>
        <w:tc>
          <w:tcPr>
            <w:tcW w:type="pct" w:w="32%"/>
            <w:tcMar>
              <w:top w:type="dxa" w:w="80"/>
              <w:left w:type="dxa" w:w="100"/>
              <w:bottom w:type="dxa" w:w="80"/>
              <w:right w:type="dxa" w:w="100"/>
            </w:tcMar>
          </w:tcPr>
          <w:p>
            <w:r>
              <w:rPr>
                <w:color w:val="5F5E5A"/>
                <w:sz w:val="19"/>
                <w:szCs w:val="19"/>
              </w:rPr>
              <w:t xml:space="preserve">Session feedback (§3)</w:t>
            </w:r>
          </w:p>
        </w:tc>
        <w:tc>
          <w:tcPr>
            <w:tcW w:type="pct" w:w="20%"/>
            <w:shd w:fill="E1F5EE" w:val="clear"/>
            <w:tcMar>
              <w:top w:type="dxa" w:w="80"/>
              <w:left w:type="dxa" w:w="100"/>
              <w:bottom w:type="dxa" w:w="80"/>
              <w:right w:type="dxa" w:w="100"/>
            </w:tcMar>
          </w:tcPr>
          <w:p>
            <w:r>
              <w:rPr>
                <w:b/>
                <w:bCs/>
                <w:color w:val="0F6E56"/>
                <w:sz w:val="19"/>
                <w:szCs w:val="19"/>
              </w:rPr>
              <w:t xml:space="preserve">Decided</w:t>
            </w:r>
          </w:p>
        </w:tc>
        <w:tc>
          <w:tcPr>
            <w:tcW w:type="pct" w:w="48%"/>
            <w:tcMar>
              <w:top w:type="dxa" w:w="80"/>
              <w:left w:type="dxa" w:w="100"/>
              <w:bottom w:type="dxa" w:w="80"/>
              <w:right w:type="dxa" w:w="100"/>
            </w:tcMar>
          </w:tcPr>
          <w:p>
            <w:r>
              <w:rPr>
                <w:color w:val="5F5E5A"/>
                <w:sz w:val="19"/>
                <w:szCs w:val="19"/>
              </w:rPr>
              <w:t xml:space="preserve">Pure aggregation, low risk, build early.</w:t>
            </w:r>
          </w:p>
        </w:tc>
      </w:tr>
      <w:tr>
        <w:tc>
          <w:tcPr>
            <w:tcW w:type="pct" w:w="32%"/>
            <w:tcMar>
              <w:top w:type="dxa" w:w="80"/>
              <w:left w:type="dxa" w:w="100"/>
              <w:bottom w:type="dxa" w:w="80"/>
              <w:right w:type="dxa" w:w="100"/>
            </w:tcMar>
          </w:tcPr>
          <w:p>
            <w:r>
              <w:rPr>
                <w:color w:val="5F5E5A"/>
                <w:sz w:val="19"/>
                <w:szCs w:val="19"/>
              </w:rPr>
              <w:t xml:space="preserve">Daily digest (§4)</w:t>
            </w:r>
          </w:p>
        </w:tc>
        <w:tc>
          <w:tcPr>
            <w:tcW w:type="pct" w:w="20%"/>
            <w:shd w:fill="E1F5EE" w:val="clear"/>
            <w:tcMar>
              <w:top w:type="dxa" w:w="80"/>
              <w:left w:type="dxa" w:w="100"/>
              <w:bottom w:type="dxa" w:w="80"/>
              <w:right w:type="dxa" w:w="100"/>
            </w:tcMar>
          </w:tcPr>
          <w:p>
            <w:r>
              <w:rPr>
                <w:b/>
                <w:bCs/>
                <w:color w:val="0F6E56"/>
                <w:sz w:val="19"/>
                <w:szCs w:val="19"/>
              </w:rPr>
              <w:t xml:space="preserve">Decided</w:t>
            </w:r>
          </w:p>
        </w:tc>
        <w:tc>
          <w:tcPr>
            <w:tcW w:type="pct" w:w="48%"/>
            <w:tcMar>
              <w:top w:type="dxa" w:w="80"/>
              <w:left w:type="dxa" w:w="100"/>
              <w:bottom w:type="dxa" w:w="80"/>
              <w:right w:type="dxa" w:w="100"/>
            </w:tcMar>
          </w:tcPr>
          <w:p>
            <w:r>
              <w:rPr>
                <w:color w:val="5F5E5A"/>
                <w:sz w:val="19"/>
                <w:szCs w:val="19"/>
              </w:rPr>
              <w:t xml:space="preserve">Needs one shared activity-log format.</w:t>
            </w:r>
          </w:p>
        </w:tc>
      </w:tr>
      <w:tr>
        <w:tc>
          <w:tcPr>
            <w:tcW w:type="pct" w:w="32%"/>
            <w:tcMar>
              <w:top w:type="dxa" w:w="80"/>
              <w:left w:type="dxa" w:w="100"/>
              <w:bottom w:type="dxa" w:w="80"/>
              <w:right w:type="dxa" w:w="100"/>
            </w:tcMar>
          </w:tcPr>
          <w:p>
            <w:r>
              <w:rPr>
                <w:color w:val="5F5E5A"/>
                <w:sz w:val="19"/>
                <w:szCs w:val="19"/>
              </w:rPr>
              <w:t xml:space="preserve">Paragraph-level argument check (§5)</w:t>
            </w:r>
          </w:p>
        </w:tc>
        <w:tc>
          <w:tcPr>
            <w:tcW w:type="pct" w:w="20%"/>
            <w:shd w:fill="FBF3DE" w:val="clear"/>
            <w:tcMar>
              <w:top w:type="dxa" w:w="80"/>
              <w:left w:type="dxa" w:w="100"/>
              <w:bottom w:type="dxa" w:w="80"/>
              <w:right w:type="dxa" w:w="100"/>
            </w:tcMar>
          </w:tcPr>
          <w:p>
            <w:r>
              <w:rPr>
                <w:b/>
                <w:bCs/>
                <w:color w:val="8A6D1E"/>
                <w:sz w:val="19"/>
                <w:szCs w:val="19"/>
              </w:rPr>
              <w:t xml:space="preserve">Open question</w:t>
            </w:r>
          </w:p>
        </w:tc>
        <w:tc>
          <w:tcPr>
            <w:tcW w:type="pct" w:w="48%"/>
            <w:tcMar>
              <w:top w:type="dxa" w:w="80"/>
              <w:left w:type="dxa" w:w="100"/>
              <w:bottom w:type="dxa" w:w="80"/>
              <w:right w:type="dxa" w:w="100"/>
            </w:tcMar>
          </w:tcPr>
          <w:p>
            <w:r>
              <w:rPr>
                <w:color w:val="5F5E5A"/>
                <w:sz w:val="19"/>
                <w:szCs w:val="19"/>
              </w:rPr>
              <w:t xml:space="preserve">Sequenced after LRET audit + Vocab Coach signal check.</w:t>
            </w:r>
          </w:p>
        </w:tc>
      </w:tr>
      <w:tr>
        <w:tc>
          <w:tcPr>
            <w:tcW w:type="pct" w:w="32%"/>
            <w:tcMar>
              <w:top w:type="dxa" w:w="80"/>
              <w:left w:type="dxa" w:w="100"/>
              <w:bottom w:type="dxa" w:w="80"/>
              <w:right w:type="dxa" w:w="100"/>
            </w:tcMar>
          </w:tcPr>
          <w:p>
            <w:r>
              <w:rPr>
                <w:color w:val="5F5E5A"/>
                <w:sz w:val="19"/>
                <w:szCs w:val="19"/>
              </w:rPr>
              <w:t xml:space="preserve">Vocab Coach → priority engine wiring (§6)</w:t>
            </w:r>
          </w:p>
        </w:tc>
        <w:tc>
          <w:tcPr>
            <w:tcW w:type="pct" w:w="20%"/>
            <w:shd w:fill="FBEAF0" w:val="clear"/>
            <w:tcMar>
              <w:top w:type="dxa" w:w="80"/>
              <w:left w:type="dxa" w:w="100"/>
              <w:bottom w:type="dxa" w:w="80"/>
              <w:right w:type="dxa" w:w="100"/>
            </w:tcMar>
          </w:tcPr>
          <w:p>
            <w:r>
              <w:rPr>
                <w:b/>
                <w:bCs/>
                <w:color w:val="993556"/>
                <w:sz w:val="19"/>
                <w:szCs w:val="19"/>
              </w:rPr>
              <w:t xml:space="preserve">Flagged, not started</w:t>
            </w:r>
          </w:p>
        </w:tc>
        <w:tc>
          <w:tcPr>
            <w:tcW w:type="pct" w:w="48%"/>
            <w:tcMar>
              <w:top w:type="dxa" w:w="80"/>
              <w:left w:type="dxa" w:w="100"/>
              <w:bottom w:type="dxa" w:w="80"/>
              <w:right w:type="dxa" w:w="100"/>
            </w:tcMar>
          </w:tcPr>
          <w:p>
            <w:r>
              <w:rPr>
                <w:color w:val="5F5E5A"/>
                <w:sz w:val="19"/>
                <w:szCs w:val="19"/>
              </w:rPr>
              <w:t xml:space="preserve">Confirmed today: priority_input_builder doesn't read LRET at all.</w:t>
            </w:r>
          </w:p>
        </w:tc>
      </w:tr>
      <w:tr>
        <w:tc>
          <w:tcPr>
            <w:tcW w:type="pct" w:w="32%"/>
            <w:tcMar>
              <w:top w:type="dxa" w:w="80"/>
              <w:left w:type="dxa" w:w="100"/>
              <w:bottom w:type="dxa" w:w="80"/>
              <w:right w:type="dxa" w:w="100"/>
            </w:tcMar>
          </w:tcPr>
          <w:p>
            <w:r>
              <w:rPr>
                <w:color w:val="5F5E5A"/>
                <w:sz w:val="19"/>
                <w:szCs w:val="19"/>
              </w:rPr>
              <w:t xml:space="preserve">LRET accuracy audit</w:t>
            </w:r>
          </w:p>
        </w:tc>
        <w:tc>
          <w:tcPr>
            <w:tcW w:type="pct" w:w="20%"/>
            <w:shd w:fill="FBEAF0" w:val="clear"/>
            <w:tcMar>
              <w:top w:type="dxa" w:w="80"/>
              <w:left w:type="dxa" w:w="100"/>
              <w:bottom w:type="dxa" w:w="80"/>
              <w:right w:type="dxa" w:w="100"/>
            </w:tcMar>
          </w:tcPr>
          <w:p>
            <w:r>
              <w:rPr>
                <w:b/>
                <w:bCs/>
                <w:color w:val="993556"/>
                <w:sz w:val="19"/>
                <w:szCs w:val="19"/>
              </w:rPr>
              <w:t xml:space="preserve">Flagged, not started</w:t>
            </w:r>
          </w:p>
        </w:tc>
        <w:tc>
          <w:tcPr>
            <w:tcW w:type="pct" w:w="48%"/>
            <w:tcMar>
              <w:top w:type="dxa" w:w="80"/>
              <w:left w:type="dxa" w:w="100"/>
              <w:bottom w:type="dxa" w:w="80"/>
              <w:right w:type="dxa" w:w="100"/>
            </w:tcMar>
          </w:tcPr>
          <w:p>
            <w:r>
              <w:rPr>
                <w:color w:val="5F5E5A"/>
                <w:sz w:val="19"/>
                <w:szCs w:val="19"/>
              </w:rPr>
              <w:t xml:space="preserve">Standing prerequisite for §5 and §6. See companion LRET spec §2.</w:t>
            </w:r>
          </w:p>
        </w:tc>
      </w:tr>
      <w:tr>
        <w:tc>
          <w:tcPr>
            <w:tcW w:type="pct" w:w="32%"/>
            <w:tcMar>
              <w:top w:type="dxa" w:w="80"/>
              <w:left w:type="dxa" w:w="100"/>
              <w:bottom w:type="dxa" w:w="80"/>
              <w:right w:type="dxa" w:w="100"/>
            </w:tcMar>
          </w:tcPr>
          <w:p>
            <w:r>
              <w:rPr>
                <w:color w:val="5F5E5A"/>
                <w:sz w:val="19"/>
                <w:szCs w:val="19"/>
              </w:rPr>
              <w:t xml:space="preserve">Payment step (§7)</w:t>
            </w:r>
          </w:p>
        </w:tc>
        <w:tc>
          <w:tcPr>
            <w:tcW w:type="pct" w:w="20%"/>
            <w:shd w:fill="FBF3DE" w:val="clear"/>
            <w:tcMar>
              <w:top w:type="dxa" w:w="80"/>
              <w:left w:type="dxa" w:w="100"/>
              <w:bottom w:type="dxa" w:w="80"/>
              <w:right w:type="dxa" w:w="100"/>
            </w:tcMar>
          </w:tcPr>
          <w:p>
            <w:r>
              <w:rPr>
                <w:b/>
                <w:bCs/>
                <w:color w:val="8A6D1E"/>
                <w:sz w:val="19"/>
                <w:szCs w:val="19"/>
              </w:rPr>
              <w:t xml:space="preserve">Logged for release</w:t>
            </w:r>
          </w:p>
        </w:tc>
        <w:tc>
          <w:tcPr>
            <w:tcW w:type="pct" w:w="48%"/>
            <w:tcMar>
              <w:top w:type="dxa" w:w="80"/>
              <w:left w:type="dxa" w:w="100"/>
              <w:bottom w:type="dxa" w:w="80"/>
              <w:right w:type="dxa" w:w="100"/>
            </w:tcMar>
          </w:tcPr>
          <w:p>
            <w:r>
              <w:rPr>
                <w:color w:val="5F5E5A"/>
                <w:sz w:val="19"/>
                <w:szCs w:val="19"/>
              </w:rPr>
              <w:t xml:space="preserve">Not for the pilot build.</w:t>
            </w:r>
          </w:p>
        </w:tc>
      </w:tr>
      <w:tr>
        <w:tc>
          <w:tcPr>
            <w:tcW w:type="pct" w:w="32%"/>
            <w:tcMar>
              <w:top w:type="dxa" w:w="80"/>
              <w:left w:type="dxa" w:w="100"/>
              <w:bottom w:type="dxa" w:w="80"/>
              <w:right w:type="dxa" w:w="100"/>
            </w:tcMar>
          </w:tcPr>
          <w:p>
            <w:r>
              <w:rPr>
                <w:color w:val="5F5E5A"/>
                <w:sz w:val="19"/>
                <w:szCs w:val="19"/>
              </w:rPr>
              <w:t xml:space="preserve">About page / testimonials (§8)</w:t>
            </w:r>
          </w:p>
        </w:tc>
        <w:tc>
          <w:tcPr>
            <w:tcW w:type="pct" w:w="20%"/>
            <w:shd w:fill="FBF3DE" w:val="clear"/>
            <w:tcMar>
              <w:top w:type="dxa" w:w="80"/>
              <w:left w:type="dxa" w:w="100"/>
              <w:bottom w:type="dxa" w:w="80"/>
              <w:right w:type="dxa" w:w="100"/>
            </w:tcMar>
          </w:tcPr>
          <w:p>
            <w:r>
              <w:rPr>
                <w:b/>
                <w:bCs/>
                <w:color w:val="8A6D1E"/>
                <w:sz w:val="19"/>
                <w:szCs w:val="19"/>
              </w:rPr>
              <w:t xml:space="preserve">Low priority</w:t>
            </w:r>
          </w:p>
        </w:tc>
        <w:tc>
          <w:tcPr>
            <w:tcW w:type="pct" w:w="48%"/>
            <w:tcMar>
              <w:top w:type="dxa" w:w="80"/>
              <w:left w:type="dxa" w:w="100"/>
              <w:bottom w:type="dxa" w:w="80"/>
              <w:right w:type="dxa" w:w="100"/>
            </w:tcMar>
          </w:tcPr>
          <w:p>
            <w:r>
              <w:rPr>
                <w:color w:val="5F5E5A"/>
                <w:sz w:val="19"/>
                <w:szCs w:val="19"/>
              </w:rPr>
              <w:t xml:space="preserve">Not blocking anything else.</w:t>
            </w:r>
          </w:p>
        </w:tc>
      </w:tr>
    </w:tbl>
    <w:p>
      <w:pPr>
        <w:spacing w:before="200"/>
      </w:pPr>
    </w:p>
    <w:p>
      <w:pPr>
        <w:spacing w:after="160"/>
      </w:pPr>
      <w:r>
        <w:rPr>
          <w:i/>
          <w:iCs/>
          <w:color w:val="5F5E5A"/>
          <w:sz w:val="20"/>
          <w:szCs w:val="20"/>
        </w:rPr>
        <w:t xml:space="preserve">Nothing marked “Decided” has been built yet either — it means the discussion converged, not that code exists. Comment wherever you want a different direction before any of it does.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2026-07-22T12:38:28.375Z</dcterms:created>
  <dcterms:modified xsi:type="dcterms:W3CDTF">2026-07-22T12:38:28.376Z</dcterms:modified>
</cp:coreProperties>
</file>

<file path=docProps/custom.xml><?xml version="1.0" encoding="utf-8"?>
<Properties xmlns="http://schemas.openxmlformats.org/officeDocument/2006/custom-properties" xmlns:vt="http://schemas.openxmlformats.org/officeDocument/2006/docPropsVTypes"/>
</file>