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2"/>
          <w:szCs w:val="22"/>
        </w:rPr>
        <w:t xml:space="preserve">ST.ELLA — Engine Spec</w:t>
      </w:r>
    </w:p>
    <w:p>
      <w:pPr>
        <w:spacing w:after="100"/>
      </w:pPr>
      <w:r>
        <w:rPr>
          <w:b/>
          <w:bCs/>
          <w:sz w:val="32"/>
          <w:szCs w:val="32"/>
        </w:rPr>
        <w:t xml:space="preserve">LRET v2 Specification — Addendum A</w:t>
      </w:r>
    </w:p>
    <w:p>
      <w:pPr>
        <w:spacing w:after="160"/>
      </w:pPr>
      <w:r>
        <w:rPr>
          <w:i/>
          <w:iCs/>
        </w:rPr>
        <w:t xml:space="preserve">Quality-ranked KEEP display, score-band-conditioned ratios, and a three-pass classify/suggest/verify LLM architecture. Addendum to LRET_v2_Spec.docx — does not replace it, extends §3 and §4. Draft for comment — July 2026. Every field cited below was re-confirmed against the real lret_v1_12_0 session output before writing this, not carried over from memory of the original spec.</w:t>
      </w:r>
    </w:p>
    <w:p>
      <w:pPr>
        <w:pStyle w:val="Heading1"/>
        <w:spacing w:after="150" w:before="300"/>
      </w:pPr>
      <w:r>
        <w:t xml:space="preserve">A0. Why this addendum, and how it relates to the original spec</w:t>
      </w:r>
    </w:p>
    <w:p>
      <w:pPr>
        <w:spacing w:after="160"/>
      </w:pPr>
      <w:r>
        <w:t xml:space="preserve">The original LRET_v2_Spec.docx proposes a flat display quota in §3.2 (FIX ≈5, ENHANCE ≈5, CLARIFY ≈3, KEEP as count+examples) and a release-blocking offline audit in §4. Discussing it surfaced three refinements that go beyond what that document specifies:</w:t>
      </w:r>
    </w:p>
    <w:p>
      <w:pPr>
        <w:pStyle w:val="ListParagraph"/>
        <w:numPr>
          <w:ilvl w:val="0"/>
          <w:numId w:val="1"/>
        </w:numPr>
        <w:spacing w:after="100"/>
      </w:pPr>
      <w:r>
        <w:t xml:space="preserve">KEEP's “count + a few examples” needs a defined notion of which examples are shown — “natural, advanced, formal” rather than just the first N encountered.</w:t>
      </w:r>
    </w:p>
    <w:p>
      <w:pPr>
        <w:pStyle w:val="ListParagraph"/>
        <w:numPr>
          <w:ilvl w:val="0"/>
          <w:numId w:val="1"/>
        </w:numPr>
        <w:spacing w:after="100"/>
      </w:pPr>
      <w:r>
        <w:t xml:space="preserve">The quota numbers themselves should vary by the essay's score band, not be one fixed cap for every essay — a 250-word band-4 essay and a 250-word band-8 essay have very different real diagnostic needs.</w:t>
      </w:r>
    </w:p>
    <w:p>
      <w:pPr>
        <w:pStyle w:val="ListParagraph"/>
        <w:numPr>
          <w:ilvl w:val="0"/>
          <w:numId w:val="1"/>
        </w:numPr>
        <w:spacing w:after="100"/>
      </w:pPr>
      <w:r>
        <w:t xml:space="preserve">The engine's LLM usage should be restructured into three distinct passes — classify, suggest, verify — rather than the more conflated generation-plus-validation logic described in §1.4 of the original spec.</w:t>
      </w:r>
    </w:p>
    <w:p>
      <w:pPr>
        <w:spacing w:after="160"/>
      </w:pPr>
      <w:r>
        <w:t xml:space="preserve">Nothing in this addendum is built. It is written in the same spirit as the original document: read the real engine and real output first, propose concrete numbers grounded in what actually exists, and leave the exact thresholds open for comment.</w:t>
      </w:r>
    </w:p>
    <w:p>
      <w:pPr>
        <w:pStyle w:val="Heading1"/>
        <w:spacing w:after="150" w:before="300"/>
      </w:pPr>
      <w:r>
        <w:t xml:space="preserve">A1. KEEP display: from “count + examples” to quality-ranked examples</w:t>
      </w:r>
    </w:p>
    <w:p>
      <w:pPr>
        <w:spacing w:after="160"/>
      </w:pPr>
      <w:r>
        <w:t xml:space="preserve">The original §3.2 already gets the shape right — show a count, not 31 individual cards. What it doesn't yet specify is which 3–5 examples get shown out of a pool that size. The real session output already carries fields suited to exactly this, confirmed directly by inspecting a real keep_units array rather than assumed: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800"/>
      </w:tblGrid>
      <w:tr>
        <w:trPr>
          <w:tblHeader/>
        </w:trPr>
        <w:tc>
          <w:tcPr>
            <w:tcW w:type="dxa" w:w="2400"/>
            <w:shd w:fill="E8E8E8" w:val="clear"/>
            <w:tcMar>
              <w:top w:type="dxa" w:w="80"/>
              <w:left w:type="dxa" w:w="100"/>
              <w:bottom w:type="dxa" w:w="80"/>
              <w:right w:type="dxa" w:w="100"/>
            </w:tcMar>
          </w:tcPr>
          <w:p>
            <w:r>
              <w:rPr>
                <w:b/>
                <w:bCs/>
                <w:sz w:val="20"/>
                <w:szCs w:val="20"/>
              </w:rPr>
              <w:t xml:space="preserve">Field (already in real output)</w:t>
            </w:r>
          </w:p>
        </w:tc>
        <w:tc>
          <w:tcPr>
            <w:tcW w:type="dxa" w:w="2400"/>
            <w:shd w:fill="E8E8E8" w:val="clear"/>
            <w:tcMar>
              <w:top w:type="dxa" w:w="80"/>
              <w:left w:type="dxa" w:w="100"/>
              <w:bottom w:type="dxa" w:w="80"/>
              <w:right w:type="dxa" w:w="100"/>
            </w:tcMar>
          </w:tcPr>
          <w:p>
            <w:r>
              <w:rPr>
                <w:b/>
                <w:bCs/>
                <w:sz w:val="20"/>
                <w:szCs w:val="20"/>
              </w:rPr>
              <w:t xml:space="preserve">Real observed values</w:t>
            </w:r>
          </w:p>
        </w:tc>
        <w:tc>
          <w:tcPr>
            <w:tcW w:type="dxa" w:w="5800"/>
            <w:shd w:fill="E8E8E8" w:val="clear"/>
            <w:tcMar>
              <w:top w:type="dxa" w:w="80"/>
              <w:left w:type="dxa" w:w="100"/>
              <w:bottom w:type="dxa" w:w="80"/>
              <w:right w:type="dxa" w:w="100"/>
            </w:tcMar>
          </w:tcPr>
          <w:p>
            <w:r>
              <w:rPr>
                <w:b/>
                <w:bCs/>
                <w:sz w:val="20"/>
                <w:szCs w:val="20"/>
              </w:rPr>
              <w:t xml:space="preserve">Role in the quality score</w:t>
            </w:r>
          </w:p>
        </w:tc>
      </w:tr>
      <w:tr>
        <w:tc>
          <w:tcPr>
            <w:tcW w:type="dxa" w:w="2400"/>
            <w:tcMar>
              <w:top w:type="dxa" w:w="80"/>
              <w:left w:type="dxa" w:w="100"/>
              <w:bottom w:type="dxa" w:w="80"/>
              <w:right w:type="dxa" w:w="100"/>
            </w:tcMar>
          </w:tcPr>
          <w:p>
            <w:r>
              <w:rPr>
                <w:b w:val="false"/>
                <w:bCs w:val="false"/>
                <w:sz w:val="19"/>
                <w:szCs w:val="19"/>
              </w:rPr>
              <w:t xml:space="preserve">candidate_value</w:t>
            </w:r>
          </w:p>
        </w:tc>
        <w:tc>
          <w:tcPr>
            <w:tcW w:type="dxa" w:w="2400"/>
            <w:tcMar>
              <w:top w:type="dxa" w:w="80"/>
              <w:left w:type="dxa" w:w="100"/>
              <w:bottom w:type="dxa" w:w="80"/>
              <w:right w:type="dxa" w:w="100"/>
            </w:tcMar>
          </w:tcPr>
          <w:p>
            <w:r>
              <w:rPr>
                <w:b w:val="false"/>
                <w:bCs w:val="false"/>
                <w:sz w:val="19"/>
                <w:szCs w:val="19"/>
              </w:rPr>
              <w:t xml:space="preserve">0.42–0.85 (confirmed range, real session)</w:t>
            </w:r>
          </w:p>
        </w:tc>
        <w:tc>
          <w:tcPr>
            <w:tcW w:type="dxa" w:w="5800"/>
            <w:tcMar>
              <w:top w:type="dxa" w:w="80"/>
              <w:left w:type="dxa" w:w="100"/>
              <w:bottom w:type="dxa" w:w="80"/>
              <w:right w:type="dxa" w:w="100"/>
            </w:tcMar>
          </w:tcPr>
          <w:p>
            <w:r>
              <w:rPr>
                <w:b w:val="false"/>
                <w:bCs w:val="false"/>
                <w:sz w:val="19"/>
                <w:szCs w:val="19"/>
              </w:rPr>
              <w:t xml:space="preserve">Primary sort key — already a per-item numeric strength signal, not invented for this addendum</w:t>
            </w:r>
          </w:p>
        </w:tc>
      </w:tr>
      <w:tr>
        <w:tc>
          <w:tcPr>
            <w:tcW w:type="dxa" w:w="2400"/>
            <w:tcMar>
              <w:top w:type="dxa" w:w="80"/>
              <w:left w:type="dxa" w:w="100"/>
              <w:bottom w:type="dxa" w:w="80"/>
              <w:right w:type="dxa" w:w="100"/>
            </w:tcMar>
          </w:tcPr>
          <w:p>
            <w:r>
              <w:rPr>
                <w:b w:val="false"/>
                <w:bCs w:val="false"/>
                <w:sz w:val="19"/>
                <w:szCs w:val="19"/>
              </w:rPr>
              <w:t xml:space="preserve">keep_type</w:t>
            </w:r>
          </w:p>
        </w:tc>
        <w:tc>
          <w:tcPr>
            <w:tcW w:type="dxa" w:w="2400"/>
            <w:tcMar>
              <w:top w:type="dxa" w:w="80"/>
              <w:left w:type="dxa" w:w="100"/>
              <w:bottom w:type="dxa" w:w="80"/>
              <w:right w:type="dxa" w:w="100"/>
            </w:tcMar>
          </w:tcPr>
          <w:p>
            <w:r>
              <w:rPr>
                <w:b w:val="false"/>
                <w:bCs w:val="false"/>
                <w:sz w:val="19"/>
                <w:szCs w:val="19"/>
              </w:rPr>
              <w:t xml:space="preserve">keep_collocation, keep_formulaic_expression, keep_topic_vocabulary, keep_phrase</w:t>
            </w:r>
          </w:p>
        </w:tc>
        <w:tc>
          <w:tcPr>
            <w:tcW w:type="dxa" w:w="5800"/>
            <w:tcMar>
              <w:top w:type="dxa" w:w="80"/>
              <w:left w:type="dxa" w:w="100"/>
              <w:bottom w:type="dxa" w:w="80"/>
              <w:right w:type="dxa" w:w="100"/>
            </w:tcMar>
          </w:tcPr>
          <w:p>
            <w:r>
              <w:rPr>
                <w:b w:val="false"/>
                <w:bCs w:val="false"/>
                <w:sz w:val="19"/>
                <w:szCs w:val="19"/>
              </w:rPr>
              <w:t xml:space="preserve">Tie-break: collocation/formulaic items rank above generic topic-vocabulary/phrase items when candidate_value ties</w:t>
            </w:r>
          </w:p>
        </w:tc>
      </w:tr>
      <w:tr>
        <w:tc>
          <w:tcPr>
            <w:tcW w:type="dxa" w:w="2400"/>
            <w:tcMar>
              <w:top w:type="dxa" w:w="80"/>
              <w:left w:type="dxa" w:w="100"/>
              <w:bottom w:type="dxa" w:w="80"/>
              <w:right w:type="dxa" w:w="100"/>
            </w:tcMar>
          </w:tcPr>
          <w:p>
            <w:r>
              <w:rPr>
                <w:b w:val="false"/>
                <w:bCs w:val="false"/>
                <w:sz w:val="19"/>
                <w:szCs w:val="19"/>
              </w:rPr>
              <w:t xml:space="preserve">positive_evidence_role</w:t>
            </w:r>
          </w:p>
        </w:tc>
        <w:tc>
          <w:tcPr>
            <w:tcW w:type="dxa" w:w="2400"/>
            <w:tcMar>
              <w:top w:type="dxa" w:w="80"/>
              <w:left w:type="dxa" w:w="100"/>
              <w:bottom w:type="dxa" w:w="80"/>
              <w:right w:type="dxa" w:w="100"/>
            </w:tcMar>
          </w:tcPr>
          <w:p>
            <w:r>
              <w:rPr>
                <w:b w:val="false"/>
                <w:bCs w:val="false"/>
                <w:sz w:val="19"/>
                <w:szCs w:val="19"/>
              </w:rPr>
              <w:t xml:space="preserve">academic_expression, phrase_control, collocation_control, topic_control</w:t>
            </w:r>
          </w:p>
        </w:tc>
        <w:tc>
          <w:tcPr>
            <w:tcW w:type="dxa" w:w="5800"/>
            <w:tcMar>
              <w:top w:type="dxa" w:w="80"/>
              <w:left w:type="dxa" w:w="100"/>
              <w:bottom w:type="dxa" w:w="80"/>
              <w:right w:type="dxa" w:w="100"/>
            </w:tcMar>
          </w:tcPr>
          <w:p>
            <w:r>
              <w:rPr>
                <w:b w:val="false"/>
                <w:bCs w:val="false"/>
                <w:sz w:val="19"/>
                <w:szCs w:val="19"/>
              </w:rPr>
              <w:t xml:space="preserve">Secondary tie-break: academic_expression items rank highest — this is the closest existing field to “formal”</w:t>
            </w:r>
          </w:p>
        </w:tc>
      </w:tr>
    </w:tbl>
    <w:p>
      <w:pPr>
        <w:spacing w:after="160"/>
      </w:pPr>
      <w:r>
        <w:t xml:space="preserve">Proposed KEEP_QUALITY_SCORE: sort keep_units by candidate_value descending; where two items tie (rounded to 2 decimals), prefer keep_type ∈ {keep_collocation, keep_formulaic_expression} over {keep_topic_vocabulary, keep_phrase}, and prefer positive_evidence_role == "academic_expression" as a final tie-break. This operationalizes “natural, advanced, formal” using signals the engine already computes for every KEEP item — no new extraction logic, no new LLM call, just a defined sort/select rule applied at display time.</w:t>
      </w:r>
    </w:p>
    <w:p>
      <w:pPr>
        <w:spacing w:after="160"/>
      </w:pPr>
      <w:r>
        <w:t xml:space="preserve">This only changes which examples are shown. It does not touch keep_promotable_units (9 items in the sample — still the separate “almost-enhance” pool the original §6 flags) or keep_internal_units (108 items — still fully internal, never shown). Those two tiers are unaffected by this addendum.</w:t>
      </w:r>
    </w:p>
    <w:p>
      <w:pPr>
        <w:pStyle w:val="Heading1"/>
        <w:spacing w:after="150" w:before="300"/>
      </w:pPr>
      <w:r>
        <w:t xml:space="preserve">A2. Ratio tables by score band</w:t>
      </w:r>
    </w:p>
    <w:p>
      <w:pPr>
        <w:spacing w:after="160"/>
      </w:pPr>
      <w:r>
        <w:t xml:space="preserve">The original §3.2 quota is flat across every essay. The idea discussed: a weak essay (band 4–5) should show proportionally more FIX/CLARIFY and less KEEP — there's more to actually fix and less to hold up as a model. A strong essay (7+) should show more KEEP and less CLARIFY/FIX — there's less wrong and more worth reinforcing. A mid-band essay (6–6.5) should show more ENHANCE than either extreme — this is where “correct but flat” language is most concentrated, and ENHANCE is exactly the tier built for that. Proposed starting table (illustrative, not final — exact numbers are open for comment):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1500"/>
        <w:gridCol w:w="2100"/>
      </w:tblGrid>
      <w:tr>
        <w:trPr>
          <w:tblHeader/>
        </w:trPr>
        <w:tc>
          <w:tcPr>
            <w:tcW w:type="dxa" w:w="2200"/>
            <w:shd w:fill="E8E8E8" w:val="clear"/>
            <w:tcMar>
              <w:top w:type="dxa" w:w="80"/>
              <w:left w:type="dxa" w:w="100"/>
              <w:bottom w:type="dxa" w:w="80"/>
              <w:right w:type="dxa" w:w="100"/>
            </w:tcMar>
          </w:tcPr>
          <w:p>
            <w:r>
              <w:rPr>
                <w:b/>
                <w:bCs/>
                <w:sz w:val="20"/>
                <w:szCs w:val="20"/>
              </w:rPr>
              <w:t xml:space="preserve">Band</w:t>
            </w:r>
          </w:p>
        </w:tc>
        <w:tc>
          <w:tcPr>
            <w:tcW w:type="dxa" w:w="1500"/>
            <w:shd w:fill="E8E8E8" w:val="clear"/>
            <w:tcMar>
              <w:top w:type="dxa" w:w="80"/>
              <w:left w:type="dxa" w:w="100"/>
              <w:bottom w:type="dxa" w:w="80"/>
              <w:right w:type="dxa" w:w="100"/>
            </w:tcMar>
          </w:tcPr>
          <w:p>
            <w:r>
              <w:rPr>
                <w:b/>
                <w:bCs/>
                <w:sz w:val="20"/>
                <w:szCs w:val="20"/>
              </w:rPr>
              <w:t xml:space="preserve">FIX cap</w:t>
            </w:r>
          </w:p>
        </w:tc>
        <w:tc>
          <w:tcPr>
            <w:tcW w:type="dxa" w:w="1700"/>
            <w:shd w:fill="E8E8E8" w:val="clear"/>
            <w:tcMar>
              <w:top w:type="dxa" w:w="80"/>
              <w:left w:type="dxa" w:w="100"/>
              <w:bottom w:type="dxa" w:w="80"/>
              <w:right w:type="dxa" w:w="100"/>
            </w:tcMar>
          </w:tcPr>
          <w:p>
            <w:r>
              <w:rPr>
                <w:b/>
                <w:bCs/>
                <w:sz w:val="20"/>
                <w:szCs w:val="20"/>
              </w:rPr>
              <w:t xml:space="preserve">ENHANCE cap</w:t>
            </w:r>
          </w:p>
        </w:tc>
        <w:tc>
          <w:tcPr>
            <w:tcW w:type="dxa" w:w="1700"/>
            <w:shd w:fill="E8E8E8" w:val="clear"/>
            <w:tcMar>
              <w:top w:type="dxa" w:w="80"/>
              <w:left w:type="dxa" w:w="100"/>
              <w:bottom w:type="dxa" w:w="80"/>
              <w:right w:type="dxa" w:w="100"/>
            </w:tcMar>
          </w:tcPr>
          <w:p>
            <w:r>
              <w:rPr>
                <w:b/>
                <w:bCs/>
                <w:sz w:val="20"/>
                <w:szCs w:val="20"/>
              </w:rPr>
              <w:t xml:space="preserve">CLARIFY cap</w:t>
            </w:r>
          </w:p>
        </w:tc>
        <w:tc>
          <w:tcPr>
            <w:tcW w:type="dxa" w:w="1500"/>
            <w:shd w:fill="E8E8E8" w:val="clear"/>
            <w:tcMar>
              <w:top w:type="dxa" w:w="80"/>
              <w:left w:type="dxa" w:w="100"/>
              <w:bottom w:type="dxa" w:w="80"/>
              <w:right w:type="dxa" w:w="100"/>
            </w:tcMar>
          </w:tcPr>
          <w:p>
            <w:r>
              <w:rPr>
                <w:b/>
                <w:bCs/>
                <w:sz w:val="20"/>
                <w:szCs w:val="20"/>
              </w:rPr>
              <w:t xml:space="preserve">KEEP shown</w:t>
            </w:r>
          </w:p>
        </w:tc>
        <w:tc>
          <w:tcPr>
            <w:tcW w:type="dxa" w:w="2100"/>
            <w:shd w:fill="E8E8E8" w:val="clear"/>
            <w:tcMar>
              <w:top w:type="dxa" w:w="80"/>
              <w:left w:type="dxa" w:w="100"/>
              <w:bottom w:type="dxa" w:w="80"/>
              <w:right w:type="dxa" w:w="100"/>
            </w:tcMar>
          </w:tcPr>
          <w:p>
            <w:r>
              <w:rPr>
                <w:b/>
                <w:bCs/>
                <w:sz w:val="20"/>
                <w:szCs w:val="20"/>
              </w:rPr>
              <w:t xml:space="preserve">Rationale</w:t>
            </w:r>
          </w:p>
        </w:tc>
      </w:tr>
      <w:tr>
        <w:tc>
          <w:tcPr>
            <w:tcW w:type="dxa" w:w="2200"/>
            <w:tcMar>
              <w:top w:type="dxa" w:w="80"/>
              <w:left w:type="dxa" w:w="100"/>
              <w:bottom w:type="dxa" w:w="80"/>
              <w:right w:type="dxa" w:w="100"/>
            </w:tcMar>
          </w:tcPr>
          <w:p>
            <w:r>
              <w:rPr>
                <w:b w:val="false"/>
                <w:bCs w:val="false"/>
                <w:sz w:val="19"/>
                <w:szCs w:val="19"/>
              </w:rPr>
              <w:t xml:space="preserve">4–5 (weak)</w:t>
            </w:r>
          </w:p>
        </w:tc>
        <w:tc>
          <w:tcPr>
            <w:tcW w:type="dxa" w:w="1500"/>
            <w:tcMar>
              <w:top w:type="dxa" w:w="80"/>
              <w:left w:type="dxa" w:w="100"/>
              <w:bottom w:type="dxa" w:w="80"/>
              <w:right w:type="dxa" w:w="100"/>
            </w:tcMar>
          </w:tcPr>
          <w:p>
            <w:r>
              <w:rPr>
                <w:b w:val="false"/>
                <w:bCs w:val="false"/>
                <w:sz w:val="19"/>
                <w:szCs w:val="19"/>
              </w:rPr>
              <w:t xml:space="preserve">5</w:t>
            </w:r>
          </w:p>
        </w:tc>
        <w:tc>
          <w:tcPr>
            <w:tcW w:type="dxa" w:w="1700"/>
            <w:tcMar>
              <w:top w:type="dxa" w:w="80"/>
              <w:left w:type="dxa" w:w="100"/>
              <w:bottom w:type="dxa" w:w="80"/>
              <w:right w:type="dxa" w:w="100"/>
            </w:tcMar>
          </w:tcPr>
          <w:p>
            <w:r>
              <w:rPr>
                <w:b w:val="false"/>
                <w:bCs w:val="false"/>
                <w:sz w:val="19"/>
                <w:szCs w:val="19"/>
              </w:rPr>
              <w:t xml:space="preserve">1–2</w:t>
            </w:r>
          </w:p>
        </w:tc>
        <w:tc>
          <w:tcPr>
            <w:tcW w:type="dxa" w:w="1700"/>
            <w:tcMar>
              <w:top w:type="dxa" w:w="80"/>
              <w:left w:type="dxa" w:w="100"/>
              <w:bottom w:type="dxa" w:w="80"/>
              <w:right w:type="dxa" w:w="100"/>
            </w:tcMar>
          </w:tcPr>
          <w:p>
            <w:r>
              <w:rPr>
                <w:b w:val="false"/>
                <w:bCs w:val="false"/>
                <w:sz w:val="19"/>
                <w:szCs w:val="19"/>
              </w:rPr>
              <w:t xml:space="preserve">3</w:t>
            </w:r>
          </w:p>
        </w:tc>
        <w:tc>
          <w:tcPr>
            <w:tcW w:type="dxa" w:w="1500"/>
            <w:tcMar>
              <w:top w:type="dxa" w:w="80"/>
              <w:left w:type="dxa" w:w="100"/>
              <w:bottom w:type="dxa" w:w="80"/>
              <w:right w:type="dxa" w:w="100"/>
            </w:tcMar>
          </w:tcPr>
          <w:p>
            <w:r>
              <w:rPr>
                <w:b w:val="false"/>
                <w:bCs w:val="false"/>
                <w:sz w:val="19"/>
                <w:szCs w:val="19"/>
              </w:rPr>
              <w:t xml:space="preserve">2 examples</w:t>
            </w:r>
          </w:p>
        </w:tc>
        <w:tc>
          <w:tcPr>
            <w:tcW w:type="dxa" w:w="2100"/>
            <w:tcMar>
              <w:top w:type="dxa" w:w="80"/>
              <w:left w:type="dxa" w:w="100"/>
              <w:bottom w:type="dxa" w:w="80"/>
              <w:right w:type="dxa" w:w="100"/>
            </w:tcMar>
          </w:tcPr>
          <w:p>
            <w:r>
              <w:rPr>
                <w:b w:val="false"/>
                <w:bCs w:val="false"/>
                <w:sz w:val="19"/>
                <w:szCs w:val="19"/>
              </w:rPr>
              <w:t xml:space="preserve">Most real errors need surfacing; little room to build on yet</w:t>
            </w:r>
          </w:p>
        </w:tc>
      </w:tr>
      <w:tr>
        <w:tc>
          <w:tcPr>
            <w:tcW w:type="dxa" w:w="2200"/>
            <w:tcMar>
              <w:top w:type="dxa" w:w="80"/>
              <w:left w:type="dxa" w:w="100"/>
              <w:bottom w:type="dxa" w:w="80"/>
              <w:right w:type="dxa" w:w="100"/>
            </w:tcMar>
          </w:tcPr>
          <w:p>
            <w:r>
              <w:rPr>
                <w:b w:val="false"/>
                <w:bCs w:val="false"/>
                <w:sz w:val="19"/>
                <w:szCs w:val="19"/>
              </w:rPr>
              <w:t xml:space="preserve">5.5–6.5 (mid)</w:t>
            </w:r>
          </w:p>
        </w:tc>
        <w:tc>
          <w:tcPr>
            <w:tcW w:type="dxa" w:w="1500"/>
            <w:tcMar>
              <w:top w:type="dxa" w:w="80"/>
              <w:left w:type="dxa" w:w="100"/>
              <w:bottom w:type="dxa" w:w="80"/>
              <w:right w:type="dxa" w:w="100"/>
            </w:tcMar>
          </w:tcPr>
          <w:p>
            <w:r>
              <w:rPr>
                <w:b w:val="false"/>
                <w:bCs w:val="false"/>
                <w:sz w:val="19"/>
                <w:szCs w:val="19"/>
              </w:rPr>
              <w:t xml:space="preserve">4</w:t>
            </w:r>
          </w:p>
        </w:tc>
        <w:tc>
          <w:tcPr>
            <w:tcW w:type="dxa" w:w="1700"/>
            <w:tcMar>
              <w:top w:type="dxa" w:w="80"/>
              <w:left w:type="dxa" w:w="100"/>
              <w:bottom w:type="dxa" w:w="80"/>
              <w:right w:type="dxa" w:w="100"/>
            </w:tcMar>
          </w:tcPr>
          <w:p>
            <w:r>
              <w:rPr>
                <w:b w:val="false"/>
                <w:bCs w:val="false"/>
                <w:sz w:val="19"/>
                <w:szCs w:val="19"/>
              </w:rPr>
              <w:t xml:space="preserve">4–5</w:t>
            </w:r>
          </w:p>
        </w:tc>
        <w:tc>
          <w:tcPr>
            <w:tcW w:type="dxa" w:w="1700"/>
            <w:tcMar>
              <w:top w:type="dxa" w:w="80"/>
              <w:left w:type="dxa" w:w="100"/>
              <w:bottom w:type="dxa" w:w="80"/>
              <w:right w:type="dxa" w:w="100"/>
            </w:tcMar>
          </w:tcPr>
          <w:p>
            <w:r>
              <w:rPr>
                <w:b w:val="false"/>
                <w:bCs w:val="false"/>
                <w:sz w:val="19"/>
                <w:szCs w:val="19"/>
              </w:rPr>
              <w:t xml:space="preserve">2</w:t>
            </w:r>
          </w:p>
        </w:tc>
        <w:tc>
          <w:tcPr>
            <w:tcW w:type="dxa" w:w="1500"/>
            <w:tcMar>
              <w:top w:type="dxa" w:w="80"/>
              <w:left w:type="dxa" w:w="100"/>
              <w:bottom w:type="dxa" w:w="80"/>
              <w:right w:type="dxa" w:w="100"/>
            </w:tcMar>
          </w:tcPr>
          <w:p>
            <w:r>
              <w:rPr>
                <w:b w:val="false"/>
                <w:bCs w:val="false"/>
                <w:sz w:val="19"/>
                <w:szCs w:val="19"/>
              </w:rPr>
              <w:t xml:space="preserve">3 examples</w:t>
            </w:r>
          </w:p>
        </w:tc>
        <w:tc>
          <w:tcPr>
            <w:tcW w:type="dxa" w:w="2100"/>
            <w:tcMar>
              <w:top w:type="dxa" w:w="80"/>
              <w:left w:type="dxa" w:w="100"/>
              <w:bottom w:type="dxa" w:w="80"/>
              <w:right w:type="dxa" w:w="100"/>
            </w:tcMar>
          </w:tcPr>
          <w:p>
            <w:r>
              <w:rPr>
                <w:b w:val="false"/>
                <w:bCs w:val="false"/>
                <w:sz w:val="19"/>
                <w:szCs w:val="19"/>
              </w:rPr>
              <w:t xml:space="preserve">Widest ENHANCE window — correct-but-flat language is the dominant real issue at this level</w:t>
            </w:r>
          </w:p>
        </w:tc>
      </w:tr>
      <w:tr>
        <w:tc>
          <w:tcPr>
            <w:tcW w:type="dxa" w:w="2200"/>
            <w:tcMar>
              <w:top w:type="dxa" w:w="80"/>
              <w:left w:type="dxa" w:w="100"/>
              <w:bottom w:type="dxa" w:w="80"/>
              <w:right w:type="dxa" w:w="100"/>
            </w:tcMar>
          </w:tcPr>
          <w:p>
            <w:r>
              <w:rPr>
                <w:b w:val="false"/>
                <w:bCs w:val="false"/>
                <w:sz w:val="19"/>
                <w:szCs w:val="19"/>
              </w:rPr>
              <w:t xml:space="preserve">7+ (strong)</w:t>
            </w:r>
          </w:p>
        </w:tc>
        <w:tc>
          <w:tcPr>
            <w:tcW w:type="dxa" w:w="1500"/>
            <w:tcMar>
              <w:top w:type="dxa" w:w="80"/>
              <w:left w:type="dxa" w:w="100"/>
              <w:bottom w:type="dxa" w:w="80"/>
              <w:right w:type="dxa" w:w="100"/>
            </w:tcMar>
          </w:tcPr>
          <w:p>
            <w:r>
              <w:rPr>
                <w:b w:val="false"/>
                <w:bCs w:val="false"/>
                <w:sz w:val="19"/>
                <w:szCs w:val="19"/>
              </w:rPr>
              <w:t xml:space="preserve">2–3</w:t>
            </w:r>
          </w:p>
        </w:tc>
        <w:tc>
          <w:tcPr>
            <w:tcW w:type="dxa" w:w="1700"/>
            <w:tcMar>
              <w:top w:type="dxa" w:w="80"/>
              <w:left w:type="dxa" w:w="100"/>
              <w:bottom w:type="dxa" w:w="80"/>
              <w:right w:type="dxa" w:w="100"/>
            </w:tcMar>
          </w:tcPr>
          <w:p>
            <w:r>
              <w:rPr>
                <w:b w:val="false"/>
                <w:bCs w:val="false"/>
                <w:sz w:val="19"/>
                <w:szCs w:val="19"/>
              </w:rPr>
              <w:t xml:space="preserve">2–3</w:t>
            </w:r>
          </w:p>
        </w:tc>
        <w:tc>
          <w:tcPr>
            <w:tcW w:type="dxa" w:w="1700"/>
            <w:tcMar>
              <w:top w:type="dxa" w:w="80"/>
              <w:left w:type="dxa" w:w="100"/>
              <w:bottom w:type="dxa" w:w="80"/>
              <w:right w:type="dxa" w:w="100"/>
            </w:tcMar>
          </w:tcPr>
          <w:p>
            <w:r>
              <w:rPr>
                <w:b w:val="false"/>
                <w:bCs w:val="false"/>
                <w:sz w:val="19"/>
                <w:szCs w:val="19"/>
              </w:rPr>
              <w:t xml:space="preserve">1</w:t>
            </w:r>
          </w:p>
        </w:tc>
        <w:tc>
          <w:tcPr>
            <w:tcW w:type="dxa" w:w="1500"/>
            <w:tcMar>
              <w:top w:type="dxa" w:w="80"/>
              <w:left w:type="dxa" w:w="100"/>
              <w:bottom w:type="dxa" w:w="80"/>
              <w:right w:type="dxa" w:w="100"/>
            </w:tcMar>
          </w:tcPr>
          <w:p>
            <w:r>
              <w:rPr>
                <w:b w:val="false"/>
                <w:bCs w:val="false"/>
                <w:sz w:val="19"/>
                <w:szCs w:val="19"/>
              </w:rPr>
              <w:t xml:space="preserve">5 examples</w:t>
            </w:r>
          </w:p>
        </w:tc>
        <w:tc>
          <w:tcPr>
            <w:tcW w:type="dxa" w:w="2100"/>
            <w:tcMar>
              <w:top w:type="dxa" w:w="80"/>
              <w:left w:type="dxa" w:w="100"/>
              <w:bottom w:type="dxa" w:w="80"/>
              <w:right w:type="dxa" w:w="100"/>
            </w:tcMar>
          </w:tcPr>
          <w:p>
            <w:r>
              <w:rPr>
                <w:b w:val="false"/>
                <w:bCs w:val="false"/>
                <w:sz w:val="19"/>
                <w:szCs w:val="19"/>
              </w:rPr>
              <w:t xml:space="preserve">Few real errors left; showing more genuinely-strong KEEP items reinforces what's already working</w:t>
            </w:r>
          </w:p>
        </w:tc>
      </w:tr>
    </w:tbl>
    <w:p>
      <w:pPr>
        <w:spacing w:after="160"/>
      </w:pPr>
      <w:r>
        <w:t xml:space="preserve">Two explicit dependencies, not optional caveats:</w:t>
      </w:r>
    </w:p>
    <w:p>
      <w:pPr>
        <w:pStyle w:val="ListParagraph"/>
        <w:numPr>
          <w:ilvl w:val="0"/>
          <w:numId w:val="1"/>
        </w:numPr>
        <w:spacing w:after="100"/>
      </w:pPr>
      <w:r>
        <w:t xml:space="preserve">This table conditions on the essay's assigned score band. You've said you're working on recalibrating the scorer so its band is closer to the true one — until that calibration work lands, this table would be conditioning a display decision on a band number known to carry real error. Shipping the ratio logic before the recalibration risks a band-4 essay that's actually closer to band-6 getting the wrong ratio applied, compounding one imprecise signal with another.</w:t>
      </w:r>
    </w:p>
    <w:p>
      <w:pPr>
        <w:pStyle w:val="ListParagraph"/>
        <w:numPr>
          <w:ilvl w:val="0"/>
          <w:numId w:val="1"/>
        </w:numPr>
        <w:spacing w:after="100"/>
      </w:pPr>
      <w:r>
        <w:t xml:space="preserve">The original spec's §2 accuracy audit (whether LRET's own FIX/ENHANCE/CLARIFY/KEEP classifications agree with a human rater) is still not started and still blocks this, for the same reason it already blocks §3.1 and §5.3 in the original document: showing more or fewer of a classification whose own accuracy hasn't been checked just changes the volume of a potentially-wrong signal, not its correctness.</w:t>
      </w:r>
    </w:p>
    <w:p>
      <w:pPr>
        <w:spacing w:after="160"/>
      </w:pPr>
      <w:r>
        <w:t xml:space="preserve">Recommended sequencing: (1) finish scorer recalibration, (2) run the §2 accuracy audit, (3) only then calibrate the exact numbers in the table above against real data from both — the table here is a starting hypothesis to react to, not a number to implement as-is.</w:t>
      </w:r>
    </w:p>
    <w:p>
      <w:pPr>
        <w:pStyle w:val="Heading1"/>
        <w:spacing w:after="150" w:before="300"/>
      </w:pPr>
      <w:r>
        <w:t xml:space="preserve">A3. Three-pass LLM architecture: classify → suggest → verify</w:t>
      </w:r>
    </w:p>
    <w:p>
      <w:pPr>
        <w:spacing w:after="160"/>
      </w:pPr>
      <w:r>
        <w:t xml:space="preserve">Today's engine (per the original spec's §1.4) already has real per-suggestion validation gates — span_fit, grammar_role_preserved, meaning_link_detected, claim_strength_preserved, register_preserved_or_improved, context_specificity_ok, no_topic_drift, no_unsafe_word — but these run inside the same generation pass that produces the suggestion, not as an independent check afterward. The three-pass proposal separates these into distinct call boundaries:</w:t>
      </w:r>
    </w:p>
    <w:p>
      <w:pPr>
        <w:pStyle w:val="Heading2"/>
        <w:spacing w:after="120" w:before="240"/>
      </w:pPr>
      <w:r>
        <w:t xml:space="preserve">Pass 1 — CLASSIFY</w:t>
      </w:r>
    </w:p>
    <w:p>
      <w:pPr>
        <w:spacing w:after="160"/>
      </w:pPr>
      <w:r>
        <w:t xml:space="preserve">Input: one candidate lexical unit + its sentence/paragraph context (the same context field already captured per-unit). Output: FIX / ENHANCE / CLARIFY / KEEP + family (from the existing LRET_LEXICAL_FIX_FAMILIES set) + a confidence score. No suggestion text is generated yet at this stage.</w:t>
      </w:r>
    </w:p>
    <w:p>
      <w:pPr>
        <w:pStyle w:val="Heading2"/>
        <w:spacing w:after="120" w:before="240"/>
      </w:pPr>
      <w:r>
        <w:t xml:space="preserve">Pass 2 — SUGGEST</w:t>
      </w:r>
    </w:p>
    <w:p>
      <w:pPr>
        <w:spacing w:after="160"/>
      </w:pPr>
      <w:r>
        <w:t xml:space="preserve">Runs only for units classified FIX or ENHANCE in Pass 1. Generates the actual replacement/expansion text and runs the existing validation gates listed above. This is closest to what the current engine already does in one combined step.</w:t>
      </w:r>
    </w:p>
    <w:p>
      <w:pPr>
        <w:pStyle w:val="Heading2"/>
        <w:spacing w:after="120" w:before="240"/>
      </w:pPr>
      <w:r>
        <w:t xml:space="preserve">Pass 3 — VERIFY (new)</w:t>
      </w:r>
    </w:p>
    <w:p>
      <w:pPr>
        <w:spacing w:after="160"/>
      </w:pPr>
      <w:r>
        <w:t xml:space="preserve">An independent LLM call — a second, separately-prompted opinion, not a re-run of the same prompt — that re-checks the classify+suggest output before it is shown to the student. On a borderline verdict, demote a tier rather than ship at the higher-stakes tier: FIX → ENHANCE, ENHANCE → KEEP. This is the exact “fail toward the cheaper mistake” rule the original §4 already specifies for the offline release-blocking audit — applied here per-item, in real time, at the moment a single session runs, rather than only when sampling a batch after the fact.</w:t>
      </w:r>
    </w:p>
    <w:p>
      <w:pPr>
        <w:spacing w:after="160"/>
      </w:pPr>
      <w:r>
        <w:t xml:space="preserve">Important distinction — these are two different mechanisms, not one duplicated: Pass 3 (VERIFY) is a per-session, per-item runtime gate that runs on every real submission. The original §4 release-blocking gate is a periodic, offline, version-level regression check run against a sampled batch (20–30 sessions) before a new engine version or canonical-resource bank ships at all. VERIFY catches a bad call on one student's one essay right now; §4 catches a systematic problem with an entire engine version before it reaches anyone. Both are needed; neither replaces the other.</w:t>
      </w:r>
    </w:p>
    <w:p>
      <w:pPr>
        <w:spacing w:after="160"/>
      </w:pPr>
      <w:r>
        <w:t xml:space="preserve">Real cost to measure, not assume: this turns what may currently be closer to one or two LLM calls per essay into three real calls per candidate unit (or per essay if batched). This project has consistently defaulted every LLM call to a cheap model with a documented fail-safe (see Vocabulary Coach's CHEAP_MODEL convention) rather than assuming cost is negligible — the same discipline applies here. Before this ships, the added latency and per-essay cost of a real third pass should be measured against a real batch, not assumed acceptable.</w:t>
      </w:r>
    </w:p>
    <w:p>
      <w:pPr>
        <w:pStyle w:val="Heading1"/>
        <w:spacing w:after="150" w:before="300"/>
      </w:pPr>
      <w:r>
        <w:t xml:space="preserve">A4. Updated status table</w:t>
      </w:r>
    </w:p>
    <w:p>
      <w:pPr>
        <w:spacing w:after="160"/>
      </w:pPr>
      <w:r>
        <w:t xml:space="preserve">Appends to, does not replace, the original document's §7 table.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500"/>
      </w:tblGrid>
      <w:tr>
        <w:trPr>
          <w:tblHeader/>
        </w:trPr>
        <w:tc>
          <w:tcPr>
            <w:tcW w:type="dxa" w:w="2600"/>
            <w:shd w:fill="E8E8E8" w:val="clear"/>
            <w:tcMar>
              <w:top w:type="dxa" w:w="80"/>
              <w:left w:type="dxa" w:w="100"/>
              <w:bottom w:type="dxa" w:w="80"/>
              <w:right w:type="dxa" w:w="100"/>
            </w:tcMar>
          </w:tcPr>
          <w:p>
            <w:r>
              <w:rPr>
                <w:b/>
                <w:bCs/>
                <w:sz w:val="20"/>
                <w:szCs w:val="20"/>
              </w:rPr>
              <w:t xml:space="preserve">Item</w:t>
            </w:r>
          </w:p>
        </w:tc>
        <w:tc>
          <w:tcPr>
            <w:tcW w:type="dxa" w:w="2000"/>
            <w:shd w:fill="E8E8E8" w:val="clear"/>
            <w:tcMar>
              <w:top w:type="dxa" w:w="80"/>
              <w:left w:type="dxa" w:w="100"/>
              <w:bottom w:type="dxa" w:w="80"/>
              <w:right w:type="dxa" w:w="100"/>
            </w:tcMar>
          </w:tcPr>
          <w:p>
            <w:r>
              <w:rPr>
                <w:b/>
                <w:bCs/>
                <w:sz w:val="20"/>
                <w:szCs w:val="20"/>
              </w:rPr>
              <w:t xml:space="preserve">Status</w:t>
            </w:r>
          </w:p>
        </w:tc>
        <w:tc>
          <w:tcPr>
            <w:tcW w:type="dxa" w:w="5500"/>
            <w:shd w:fill="E8E8E8" w:val="clear"/>
            <w:tcMar>
              <w:top w:type="dxa" w:w="80"/>
              <w:left w:type="dxa" w:w="100"/>
              <w:bottom w:type="dxa" w:w="80"/>
              <w:right w:type="dxa" w:w="100"/>
            </w:tcMar>
          </w:tcPr>
          <w:p>
            <w:r>
              <w:rPr>
                <w:b/>
                <w:bCs/>
                <w:sz w:val="20"/>
                <w:szCs w:val="20"/>
              </w:rPr>
              <w:t xml:space="preserve">Note</w:t>
            </w:r>
          </w:p>
        </w:tc>
      </w:tr>
      <w:tr>
        <w:tc>
          <w:tcPr>
            <w:tcW w:type="dxa" w:w="2600"/>
            <w:tcMar>
              <w:top w:type="dxa" w:w="80"/>
              <w:left w:type="dxa" w:w="100"/>
              <w:bottom w:type="dxa" w:w="80"/>
              <w:right w:type="dxa" w:w="100"/>
            </w:tcMar>
          </w:tcPr>
          <w:p>
            <w:r>
              <w:rPr>
                <w:b w:val="false"/>
                <w:bCs w:val="false"/>
                <w:sz w:val="19"/>
                <w:szCs w:val="19"/>
              </w:rPr>
              <w:t xml:space="preserve">KEEP quality-ranked display (A2)</w:t>
            </w:r>
          </w:p>
        </w:tc>
        <w:tc>
          <w:tcPr>
            <w:tcW w:type="dxa" w:w="2000"/>
            <w:tcMar>
              <w:top w:type="dxa" w:w="80"/>
              <w:left w:type="dxa" w:w="100"/>
              <w:bottom w:type="dxa" w:w="80"/>
              <w:right w:type="dxa" w:w="100"/>
            </w:tcMar>
          </w:tcPr>
          <w:p>
            <w:r>
              <w:rPr>
                <w:b w:val="false"/>
                <w:bCs w:val="false"/>
                <w:sz w:val="19"/>
                <w:szCs w:val="19"/>
              </w:rPr>
              <w:t xml:space="preserve">Recommendation given</w:t>
            </w:r>
          </w:p>
        </w:tc>
        <w:tc>
          <w:tcPr>
            <w:tcW w:type="dxa" w:w="5500"/>
            <w:tcMar>
              <w:top w:type="dxa" w:w="80"/>
              <w:left w:type="dxa" w:w="100"/>
              <w:bottom w:type="dxa" w:w="80"/>
              <w:right w:type="dxa" w:w="100"/>
            </w:tcMar>
          </w:tcPr>
          <w:p>
            <w:r>
              <w:rPr>
                <w:b w:val="false"/>
                <w:bCs w:val="false"/>
                <w:sz w:val="19"/>
                <w:szCs w:val="19"/>
              </w:rPr>
              <w:t xml:space="preserve">Uses only fields already present in real output — no new extraction needed</w:t>
            </w:r>
          </w:p>
        </w:tc>
      </w:tr>
      <w:tr>
        <w:tc>
          <w:tcPr>
            <w:tcW w:type="dxa" w:w="2600"/>
            <w:tcMar>
              <w:top w:type="dxa" w:w="80"/>
              <w:left w:type="dxa" w:w="100"/>
              <w:bottom w:type="dxa" w:w="80"/>
              <w:right w:type="dxa" w:w="100"/>
            </w:tcMar>
          </w:tcPr>
          <w:p>
            <w:r>
              <w:rPr>
                <w:b w:val="false"/>
                <w:bCs w:val="false"/>
                <w:sz w:val="19"/>
                <w:szCs w:val="19"/>
              </w:rPr>
              <w:t xml:space="preserve">Band-conditioned ratio table (A3)</w:t>
            </w:r>
          </w:p>
        </w:tc>
        <w:tc>
          <w:tcPr>
            <w:tcW w:type="dxa" w:w="2000"/>
            <w:tcMar>
              <w:top w:type="dxa" w:w="80"/>
              <w:left w:type="dxa" w:w="100"/>
              <w:bottom w:type="dxa" w:w="80"/>
              <w:right w:type="dxa" w:w="100"/>
            </w:tcMar>
          </w:tcPr>
          <w:p>
            <w:r>
              <w:rPr>
                <w:b w:val="false"/>
                <w:bCs w:val="false"/>
                <w:sz w:val="19"/>
                <w:szCs w:val="19"/>
              </w:rPr>
              <w:t xml:space="preserve">Recommendation given, gated</w:t>
            </w:r>
          </w:p>
        </w:tc>
        <w:tc>
          <w:tcPr>
            <w:tcW w:type="dxa" w:w="5500"/>
            <w:tcMar>
              <w:top w:type="dxa" w:w="80"/>
              <w:left w:type="dxa" w:w="100"/>
              <w:bottom w:type="dxa" w:w="80"/>
              <w:right w:type="dxa" w:w="100"/>
            </w:tcMar>
          </w:tcPr>
          <w:p>
            <w:r>
              <w:rPr>
                <w:b w:val="false"/>
                <w:bCs w:val="false"/>
                <w:sz w:val="19"/>
                <w:szCs w:val="19"/>
              </w:rPr>
              <w:t xml:space="preserve">Should not ship before §2's accuracy audit AND the scorer recalibration you're doing — two unvalidated signals would compound</w:t>
            </w:r>
          </w:p>
        </w:tc>
      </w:tr>
      <w:tr>
        <w:tc>
          <w:tcPr>
            <w:tcW w:type="dxa" w:w="2600"/>
            <w:tcMar>
              <w:top w:type="dxa" w:w="80"/>
              <w:left w:type="dxa" w:w="100"/>
              <w:bottom w:type="dxa" w:w="80"/>
              <w:right w:type="dxa" w:w="100"/>
            </w:tcMar>
          </w:tcPr>
          <w:p>
            <w:r>
              <w:rPr>
                <w:b w:val="false"/>
                <w:bCs w:val="false"/>
                <w:sz w:val="19"/>
                <w:szCs w:val="19"/>
              </w:rPr>
              <w:t xml:space="preserve">Three-pass classify/suggest/verify (A4)</w:t>
            </w:r>
          </w:p>
        </w:tc>
        <w:tc>
          <w:tcPr>
            <w:tcW w:type="dxa" w:w="2000"/>
            <w:tcMar>
              <w:top w:type="dxa" w:w="80"/>
              <w:left w:type="dxa" w:w="100"/>
              <w:bottom w:type="dxa" w:w="80"/>
              <w:right w:type="dxa" w:w="100"/>
            </w:tcMar>
          </w:tcPr>
          <w:p>
            <w:r>
              <w:rPr>
                <w:b w:val="false"/>
                <w:bCs w:val="false"/>
                <w:sz w:val="19"/>
                <w:szCs w:val="19"/>
              </w:rPr>
              <w:t xml:space="preserve">Recommendation given</w:t>
            </w:r>
          </w:p>
        </w:tc>
        <w:tc>
          <w:tcPr>
            <w:tcW w:type="dxa" w:w="5500"/>
            <w:tcMar>
              <w:top w:type="dxa" w:w="80"/>
              <w:left w:type="dxa" w:w="100"/>
              <w:bottom w:type="dxa" w:w="80"/>
              <w:right w:type="dxa" w:w="100"/>
            </w:tcMar>
          </w:tcPr>
          <w:p>
            <w:r>
              <w:rPr>
                <w:b w:val="false"/>
                <w:bCs w:val="false"/>
                <w:sz w:val="19"/>
                <w:szCs w:val="19"/>
              </w:rPr>
              <w:t xml:space="preserve">VERIFY is a new per-item runtime gate; distinct from and complementary to §4's offline release-blocking gate</w:t>
            </w:r>
          </w:p>
        </w:tc>
      </w:tr>
      <w:tr>
        <w:tc>
          <w:tcPr>
            <w:tcW w:type="dxa" w:w="2600"/>
            <w:tcMar>
              <w:top w:type="dxa" w:w="80"/>
              <w:left w:type="dxa" w:w="100"/>
              <w:bottom w:type="dxa" w:w="80"/>
              <w:right w:type="dxa" w:w="100"/>
            </w:tcMar>
          </w:tcPr>
          <w:p>
            <w:r>
              <w:rPr>
                <w:b w:val="false"/>
                <w:bCs w:val="false"/>
                <w:sz w:val="19"/>
                <w:szCs w:val="19"/>
              </w:rPr>
              <w:t xml:space="preserve">Cost/latency measurement for the 3rd pass</w:t>
            </w:r>
          </w:p>
        </w:tc>
        <w:tc>
          <w:tcPr>
            <w:tcW w:type="dxa" w:w="2000"/>
            <w:tcMar>
              <w:top w:type="dxa" w:w="80"/>
              <w:left w:type="dxa" w:w="100"/>
              <w:bottom w:type="dxa" w:w="80"/>
              <w:right w:type="dxa" w:w="100"/>
            </w:tcMar>
          </w:tcPr>
          <w:p>
            <w:r>
              <w:rPr>
                <w:b w:val="false"/>
                <w:bCs w:val="false"/>
                <w:sz w:val="19"/>
                <w:szCs w:val="19"/>
              </w:rPr>
              <w:t xml:space="preserve">Not started</w:t>
            </w:r>
          </w:p>
        </w:tc>
        <w:tc>
          <w:tcPr>
            <w:tcW w:type="dxa" w:w="5500"/>
            <w:tcMar>
              <w:top w:type="dxa" w:w="80"/>
              <w:left w:type="dxa" w:w="100"/>
              <w:bottom w:type="dxa" w:w="80"/>
              <w:right w:type="dxa" w:w="100"/>
            </w:tcMar>
          </w:tcPr>
          <w:p>
            <w:r>
              <w:rPr>
                <w:b w:val="false"/>
                <w:bCs w:val="false"/>
                <w:sz w:val="19"/>
                <w:szCs w:val="19"/>
              </w:rPr>
              <w:t xml:space="preserve">A real third LLM call per unit is a real cost — needs measuring, not assuming</w:t>
            </w:r>
          </w:p>
        </w:tc>
      </w:tr>
    </w:tbl>
    <w:p>
      <w:pPr>
        <w:pStyle w:val="Heading1"/>
        <w:spacing w:after="150" w:before="300"/>
      </w:pPr>
      <w:r>
        <w:t xml:space="preserve">A5. Open questions for your comment</w:t>
      </w:r>
    </w:p>
    <w:p>
      <w:pPr>
        <w:pStyle w:val="ListParagraph"/>
        <w:numPr>
          <w:ilvl w:val="0"/>
          <w:numId w:val="1"/>
        </w:numPr>
        <w:spacing w:after="100"/>
      </w:pPr>
      <w:r>
        <w:t xml:space="preserve">Are the exact FIX/ENHANCE/CLARIFY/KEEP numbers in A2's table in the right range, or should any band lean further in either direction?</w:t>
      </w:r>
    </w:p>
    <w:p>
      <w:pPr>
        <w:pStyle w:val="ListParagraph"/>
        <w:numPr>
          <w:ilvl w:val="0"/>
          <w:numId w:val="1"/>
        </w:numPr>
        <w:spacing w:after="100"/>
      </w:pPr>
      <w:r>
        <w:t xml:space="preserve">Should VERIFY (Pass 3) block shipping an item outright on a low-confidence verdict, or only ever demote it a tier as drafted above — is there a case where VERIFY should suppress an item entirely rather than demote it?</w:t>
      </w:r>
    </w:p>
    <w:p>
      <w:pPr>
        <w:pStyle w:val="ListParagraph"/>
        <w:numPr>
          <w:ilvl w:val="0"/>
          <w:numId w:val="1"/>
        </w:numPr>
        <w:spacing w:after="100"/>
      </w:pPr>
      <w:r>
        <w:t xml:space="preserve">Should the KEEP_QUALITY_SCORE tie-break order in A1 (collocation/formulaic &gt; topic-vocabulary/phrase, academic_expression favoured) match your own sense of “advanced/formal,” or would you rank these differently?</w:t>
      </w:r>
    </w:p>
    <w:p>
      <w:pPr>
        <w:pStyle w:val="ListParagraph"/>
        <w:numPr>
          <w:ilvl w:val="0"/>
          <w:numId w:val="1"/>
        </w:numPr>
        <w:spacing w:after="100"/>
      </w:pPr>
      <w:r>
        <w:t xml:space="preserve">Does A2's dependency on your in-progress scorer recalibration mean this section should be paused entirely until that work lands, or is a rough band signal (even if imprecise) good enough to start against?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2026-07-22T13:05:24.368Z</dcterms:created>
  <dcterms:modified xsi:type="dcterms:W3CDTF">2026-07-22T13:05:24.368Z</dcterms:modified>
</cp:coreProperties>
</file>

<file path=docProps/custom.xml><?xml version="1.0" encoding="utf-8"?>
<Properties xmlns="http://schemas.openxmlformats.org/officeDocument/2006/custom-properties" xmlns:vt="http://schemas.openxmlformats.org/officeDocument/2006/docPropsVTypes"/>
</file>