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34AB7"/>
          <w:sz w:val="22"/>
          <w:szCs w:val="22"/>
        </w:rPr>
        <w:t xml:space="preserve">ST.ELLA — Vocabulary Coach</w:t>
      </w:r>
    </w:p>
    <w:p>
      <w:pPr>
        <w:pStyle w:val="Title"/>
        <w:spacing w:after="80"/>
      </w:pPr>
      <w:r>
        <w:rPr>
          <w:b/>
          <w:bCs/>
          <w:color w:val="2C2C2A"/>
          <w:sz w:val="40"/>
          <w:szCs w:val="40"/>
        </w:rPr>
        <w:t xml:space="preserve">Topic + Academic Vocabulary Bank Expansion Spec v1</w:t>
      </w:r>
    </w:p>
    <w:p>
      <w:pPr>
        <w:spacing w:after="160"/>
      </w:pPr>
      <w:r>
        <w:rPr>
          <w:b w:val="false"/>
          <w:bCs w:val="false"/>
          <w:i/>
          <w:iCs/>
          <w:color w:val="5F5E5A"/>
        </w:rPr>
        <w:t xml:space="preserve">Which new topics to add, and a real answer to whether academic vocabulary should be topic-aligned — it should, mostly, and here's the design that does it properly.</w:t>
      </w:r>
    </w:p>
    <w:p>
      <w:pPr>
        <w:spacing w:after="160"/>
      </w:pPr>
      <w:r>
        <w:rPr>
          <w:i/>
          <w:iCs/>
          <w:color w:val="5F5E5A"/>
          <w:sz w:val="20"/>
          <w:szCs w:val="20"/>
        </w:rPr>
        <w:t xml:space="preserve">July 2026. Companion to Session_Flow_and_Vocab_Expansion_Spec_v1 §2 — that spec named the gap; this one designs the fix in full.</w:t>
      </w:r>
    </w:p>
    <w:p>
      <w:pPr>
        <w:pStyle w:val="Heading1"/>
        <w:spacing w:after="120" w:before="300"/>
      </w:pPr>
      <w:r>
        <w:rPr>
          <w:b/>
          <w:bCs/>
          <w:color w:val="534AB7"/>
        </w:rPr>
        <w:t xml:space="preserve">0. The gap, confirmed</w:t>
      </w:r>
    </w:p>
    <w:p>
      <w:pPr>
        <w:spacing w:after="160"/>
      </w:pPr>
      <w:r>
        <w:rPr>
          <w:b w:val="false"/>
          <w:bCs w:val="false"/>
          <w:i w:val="false"/>
          <w:iCs w:val="false"/>
          <w:color w:val="5F5E5A"/>
        </w:rPr>
        <w:t xml:space="preserve">vocab_coach_topic_bank_v1_3_0.json has 10 topics: environment, technology, health, education, crime_and_justice, government_and_economy, work_and_employment, media_and_communication, urbanization_and_housing, tourism_and_travel. The essay prompt bank (lib/prompt-bank.ts) uses roughly 25 topic labels. Two subtopics already quietly cover ground that looked missing at first glance — energy_and_resources and conservation_and_wildlife already exist under environment, so “renewable energy” and “wildlife conservation” prompts are already served. The real gaps are elsewhere.</w:t>
      </w:r>
    </w:p>
    <w:p>
      <w:pPr>
        <w:pStyle w:val="Heading1"/>
        <w:spacing w:after="120" w:before="300"/>
      </w:pPr>
      <w:r>
        <w:rPr>
          <w:b/>
          <w:bCs/>
          <w:color w:val="534AB7"/>
        </w:rPr>
        <w:t xml:space="preserve">1. Recommended new topics, prioritized</w:t>
      </w:r>
    </w:p>
    <w:p>
      <w:pPr>
        <w:pStyle w:val="Heading2"/>
        <w:spacing w:after="100" w:before="220"/>
      </w:pPr>
      <w:r>
        <w:rPr>
          <w:b/>
          <w:bCs/>
          <w:color w:val="534AB7"/>
        </w:rPr>
        <w:t xml:space="preserve">1.1 Tier 1 — high priority, common IELTS Task 2 topics with no coverage</w:t>
      </w:r>
    </w:p>
    <w:p>
      <w:pPr>
        <w:pStyle w:val="ListParagraph"/>
        <w:numPr>
          <w:ilvl w:val="0"/>
          <w:numId w:val="2"/>
        </w:numPr>
        <w:spacing w:after="80"/>
      </w:pPr>
      <w:r>
        <w:rPr>
          <w:color w:val="5F5E5A"/>
        </w:rPr>
        <w:t xml:space="preserve">society_and_ageing — population ageing, elderly care, generational responsibility. Not a hypothetical gap: the real essay used for this project's own LRET accuracy audit (student_123, gold_20260711_182823) was exactly this topic, and its real keep-units (“help society”, “ageing population”) had no bank home.</w:t>
      </w:r>
    </w:p>
    <w:p>
      <w:pPr>
        <w:pStyle w:val="ListParagraph"/>
        <w:numPr>
          <w:ilvl w:val="0"/>
          <w:numId w:val="2"/>
        </w:numPr>
        <w:spacing w:after="80"/>
      </w:pPr>
      <w:r>
        <w:rPr>
          <w:color w:val="5F5E5A"/>
        </w:rPr>
        <w:t xml:space="preserve">family_and_relationships — parenting, family structure, social media's effect on relationships. Two prompt-bank topics (Family &amp; parenting, Social media &amp; relationships) both land here.</w:t>
      </w:r>
    </w:p>
    <w:p>
      <w:pPr>
        <w:pStyle w:val="ListParagraph"/>
        <w:numPr>
          <w:ilvl w:val="0"/>
          <w:numId w:val="2"/>
        </w:numPr>
        <w:spacing w:after="80"/>
      </w:pPr>
      <w:r>
        <w:rPr>
          <w:color w:val="5F5E5A"/>
        </w:rPr>
        <w:t xml:space="preserve">globalization_and_international_relations — trade, cultural homogenization, international cooperation. A very common IELTS Task 2 category with zero coverage today.</w:t>
      </w:r>
    </w:p>
    <w:p>
      <w:pPr>
        <w:pStyle w:val="Heading2"/>
        <w:spacing w:after="100" w:before="220"/>
      </w:pPr>
      <w:r>
        <w:rPr>
          <w:b/>
          <w:bCs/>
          <w:color w:val="534AB7"/>
        </w:rPr>
        <w:t xml:space="preserve">1.2 Tier 2 — common, real gaps</w:t>
      </w:r>
    </w:p>
    <w:p>
      <w:pPr>
        <w:pStyle w:val="ListParagraph"/>
        <w:numPr>
          <w:ilvl w:val="0"/>
          <w:numId w:val="2"/>
        </w:numPr>
        <w:spacing w:after="80"/>
      </w:pPr>
      <w:r>
        <w:rPr>
          <w:color w:val="5F5E5A"/>
        </w:rPr>
        <w:t xml:space="preserve">sport_and_leisure</w:t>
      </w:r>
    </w:p>
    <w:p>
      <w:pPr>
        <w:pStyle w:val="ListParagraph"/>
        <w:numPr>
          <w:ilvl w:val="0"/>
          <w:numId w:val="2"/>
        </w:numPr>
        <w:spacing w:after="80"/>
      </w:pPr>
      <w:r>
        <w:rPr>
          <w:color w:val="5F5E5A"/>
        </w:rPr>
        <w:t xml:space="preserve">science_and_space</w:t>
      </w:r>
    </w:p>
    <w:p>
      <w:pPr>
        <w:pStyle w:val="ListParagraph"/>
        <w:numPr>
          <w:ilvl w:val="0"/>
          <w:numId w:val="2"/>
        </w:numPr>
        <w:spacing w:after="80"/>
      </w:pPr>
      <w:r>
        <w:rPr>
          <w:color w:val="5F5E5A"/>
        </w:rPr>
        <w:t xml:space="preserve">food_and_diet</w:t>
      </w:r>
    </w:p>
    <w:p>
      <w:pPr>
        <w:pStyle w:val="Heading2"/>
        <w:spacing w:after="100" w:before="220"/>
      </w:pPr>
      <w:r>
        <w:rPr>
          <w:b/>
          <w:bCs/>
          <w:color w:val="534AB7"/>
        </w:rPr>
        <w:t xml:space="preserve">1.3 Tier 3 — occasional, lower priority</w:t>
      </w:r>
    </w:p>
    <w:p>
      <w:pPr>
        <w:pStyle w:val="ListParagraph"/>
        <w:numPr>
          <w:ilvl w:val="0"/>
          <w:numId w:val="2"/>
        </w:numPr>
        <w:spacing w:after="80"/>
      </w:pPr>
      <w:r>
        <w:rPr>
          <w:color w:val="5F5E5A"/>
        </w:rPr>
        <w:t xml:space="preserve">transportation</w:t>
      </w:r>
    </w:p>
    <w:p>
      <w:pPr>
        <w:pStyle w:val="ListParagraph"/>
        <w:numPr>
          <w:ilvl w:val="0"/>
          <w:numId w:val="2"/>
        </w:numPr>
        <w:spacing w:after="80"/>
      </w:pPr>
      <w:r>
        <w:rPr>
          <w:color w:val="5F5E5A"/>
        </w:rPr>
        <w:t xml:space="preserve">language_and_culture</w:t>
      </w:r>
    </w:p>
    <w:p>
      <w:pPr>
        <w:pStyle w:val="ListParagraph"/>
        <w:numPr>
          <w:ilvl w:val="0"/>
          <w:numId w:val="2"/>
        </w:numPr>
        <w:spacing w:after="80"/>
      </w:pPr>
      <w:r>
        <w:rPr>
          <w:color w:val="5F5E5A"/>
        </w:rPr>
        <w:t xml:space="preserve">arts_and_funding ("arts vs. science funding") — could instead become a subtopic of education or government_and_economy rather than a new top-level topic; genuinely borderline, flagged for a decision rather than assumed.</w:t>
      </w:r>
    </w:p>
    <w:p>
      <w:pPr>
        <w:spacing w:after="160"/>
      </w:pPr>
      <w:r>
        <w:rPr>
          <w:b w:val="false"/>
          <w:bCs w:val="false"/>
          <w:i w:val="false"/>
          <w:iCs w:val="false"/>
          <w:color w:val="5F5E5A"/>
        </w:rPr>
        <w:t xml:space="preserve">remote_learning and youth_unemployment do not need new top-level topics — they fit as subtopics of the existing education and work_and_employment topics respectively; worth a coverage check, not a new topic.</w:t>
      </w:r>
    </w:p>
    <w:p>
      <w:pPr>
        <w:pStyle w:val="Heading1"/>
        <w:spacing w:after="120" w:before="300"/>
      </w:pPr>
      <w:r>
        <w:rPr>
          <w:b/>
          <w:bCs/>
          <w:color w:val="534AB7"/>
        </w:rPr>
        <w:t xml:space="preserve">2. Academic vocabulary — should it be topic-aligned?</w:t>
      </w:r>
    </w:p>
    <w:p>
      <w:pPr>
        <w:spacing w:after="160"/>
      </w:pPr>
      <w:r>
        <w:rPr>
          <w:b w:val="false"/>
          <w:bCs w:val="false"/>
          <w:i w:val="false"/>
          <w:iCs w:val="false"/>
          <w:color w:val="5F5E5A"/>
        </w:rPr>
        <w:t xml:space="preserve">Yes, mostly — but not entirely, and the reason is specific: IELTS raters reward natural collocation used in context, not isolated academic words. “Students should adjust” with no object is weaker evidence of lexical control than “the government should adhere to stricter emissions targets.” The second is a real collocation anchored to a real topic; the first is just a verb. That argues for two tiers, not one bucket.</w:t>
      </w:r>
    </w:p>
    <w:p>
      <w:pPr>
        <w:pStyle w:val="Heading2"/>
        <w:spacing w:after="100" w:before="220"/>
      </w:pPr>
      <w:r>
        <w:rPr>
          <w:b/>
          <w:bCs/>
          <w:color w:val="534AB7"/>
        </w:rPr>
        <w:t xml:space="preserve">2.1 Tier A — universal academic register (topic-independent)</w:t>
      </w:r>
    </w:p>
    <w:p>
      <w:pPr>
        <w:spacing w:after="160"/>
      </w:pPr>
      <w:r>
        <w:rPr>
          <w:b w:val="false"/>
          <w:bCs w:val="false"/>
          <w:i w:val="false"/>
          <w:iCs w:val="false"/>
          <w:color w:val="5F5E5A"/>
        </w:rPr>
        <w:t xml:space="preserve">Discourse markers, hedging, and argument-structure phrases that work in any essay regardless of topic: “it could be argued that”, “a growing consensus suggests”, “arguably”, “on balance”, “this trend has been exacerbated by”. These stay topic-independent by design — always available, and specifically the fallback when an essay's topic has no bank match at all (see the companion spec §2.3).</w:t>
      </w:r>
    </w:p>
    <w:p>
      <w:pPr>
        <w:pStyle w:val="Heading2"/>
        <w:spacing w:after="100" w:before="220"/>
      </w:pPr>
      <w:r>
        <w:rPr>
          <w:b/>
          <w:bCs/>
          <w:color w:val="534AB7"/>
        </w:rPr>
        <w:t xml:space="preserve">2.2 Tier B — topic-anchored academic collocations (the higher-value tier)</w:t>
      </w:r>
    </w:p>
    <w:p>
      <w:pPr>
        <w:spacing w:after="160"/>
      </w:pPr>
      <w:r>
        <w:rPr>
          <w:b w:val="false"/>
          <w:bCs w:val="false"/>
          <w:i w:val="false"/>
          <w:iCs w:val="false"/>
          <w:color w:val="5F5E5A"/>
        </w:rPr>
        <w:t xml:space="preserve">A generic academic verb paired with a topic-specific noun/object, filed under the topic it belongs to: under environment, “mitigate the effects of climate change”, “curb carbon emissions”; under work_and_employment, “alleviate youth unemployment”, “exacerbate job insecurity”; under health, “address the root causes of obesity”. This is the tier that directly answers “higher probability of being used in the essay for a specific prompt” — yes, because it's built for that prompt's topic, not generic.</w:t>
      </w:r>
    </w:p>
    <w:p>
      <w:pPr>
        <w:pStyle w:val="Heading2"/>
        <w:spacing w:after="100" w:before="220"/>
      </w:pPr>
      <w:r>
        <w:rPr>
          <w:b/>
          <w:bCs/>
          <w:color w:val="534AB7"/>
        </w:rPr>
        <w:t xml:space="preserve">2.3 A quality-bar note on the examples given</w:t>
      </w:r>
    </w:p>
    <w:p>
      <w:pPr>
        <w:spacing w:after="160"/>
      </w:pPr>
      <w:r>
        <w:rPr>
          <w:b w:val="false"/>
          <w:bCs w:val="false"/>
          <w:i w:val="false"/>
          <w:iCs w:val="false"/>
          <w:color w:val="5F5E5A"/>
        </w:rPr>
        <w:t xml:space="preserve">Of the four words mentioned as a starting point — adjust, adhere to, resist, receive — two are genuinely higher-register (“adhere to”, “resist” in its abstract sense) and two are fairly ordinary B1/B2 vocabulary (“adjust”, “receive”) that wouldn't distinctively signal strong Lexical Resource on their own. Recommend a real register/CEFR bar (B2+ minimum, cross-checked against a genuine academic word/collocation list) so “academic” doesn't quietly become “any verb” — consistent with the CEFR-tagging discipline the existing topic bank already uses.</w:t>
      </w:r>
    </w:p>
    <w:p>
      <w:pPr>
        <w:pStyle w:val="Heading2"/>
        <w:spacing w:after="100" w:before="220"/>
      </w:pPr>
      <w:r>
        <w:rPr>
          <w:b/>
          <w:bCs/>
          <w:color w:val="534AB7"/>
        </w:rPr>
        <w:t xml:space="preserve">2.4 Selection priority within a topic-matched session</w:t>
      </w:r>
    </w:p>
    <w:p>
      <w:pPr>
        <w:spacing w:after="160"/>
      </w:pPr>
      <w:r>
        <w:rPr>
          <w:b w:val="false"/>
          <w:bCs w:val="false"/>
          <w:i w:val="false"/>
          <w:iCs w:val="false"/>
          <w:color w:val="5F5E5A"/>
        </w:rPr>
        <w:t xml:space="preserve">Both tiers are candidates whenever Vocabulary Coach runs matched to an essay's topic (per the companion spec's override). Tier B items for that specific topic get priority — they're the ones the student can plausibly use in THIS essay's revision. Tier A items remain a smaller, always-available supplementary pool, not the main event.</w:t>
      </w:r>
    </w:p>
    <w:p>
      <w:pPr>
        <w:pStyle w:val="Heading1"/>
        <w:spacing w:after="120" w:before="300"/>
      </w:pPr>
      <w:r>
        <w:rPr>
          <w:b/>
          <w:bCs/>
          <w:color w:val="534AB7"/>
        </w:rPr>
        <w:t xml:space="preserve">3. Schema plan</w:t>
      </w:r>
    </w:p>
    <w:p>
      <w:pPr>
        <w:spacing w:after="160"/>
      </w:pPr>
      <w:r>
        <w:rPr>
          <w:b w:val="false"/>
          <w:bCs w:val="false"/>
          <w:i w:val="false"/>
          <w:iCs w:val="false"/>
          <w:color w:val="5F5E5A"/>
        </w:rPr>
        <w:t xml:space="preserve">New topics follow the existing topic_bank schema exactly — subtopics_index, subtopics, items with phrase/type/tier/headword/relation_type/collocate/cefr_estimate/difficulty_tier — no engine change needed to store them.</w:t>
      </w:r>
    </w:p>
    <w:p>
      <w:pPr>
        <w:pStyle w:val="ListParagraph"/>
        <w:numPr>
          <w:ilvl w:val="0"/>
          <w:numId w:val="2"/>
        </w:numPr>
        <w:spacing w:after="80"/>
      </w:pPr>
      <w:r>
        <w:rPr>
          <w:color w:val="5F5E5A"/>
        </w:rPr>
        <w:t xml:space="preserve">Tier B (topic-anchored academic collocations): a new item "type": "academic_collocation" within each topic's existing structure (either its "general" subtopic or a new dedicated subtopic per topic — needs a decision, not assumed).</w:t>
      </w:r>
    </w:p>
    <w:p>
      <w:pPr>
        <w:pStyle w:val="ListParagraph"/>
        <w:numPr>
          <w:ilvl w:val="0"/>
          <w:numId w:val="2"/>
        </w:numPr>
        <w:spacing w:after="80"/>
      </w:pPr>
      <w:r>
        <w:rPr>
          <w:color w:val="5F5E5A"/>
        </w:rPr>
        <w:t xml:space="preserve">Tier A (universal): a new, separate top-level bank file (e.g. vocab_coach_academic_register_bank_v1_0.json) with its own small schema (phrase, function: hedging/connective/argument_verb, cefr_estimate) and a new source_bank value ("academic_register") — the ledger schema already has a source_bank field per item, so this is additive, not a schema change.</w:t>
      </w:r>
    </w:p>
    <w:p>
      <w:pPr>
        <w:pStyle w:val="Heading1"/>
        <w:spacing w:after="120" w:before="300"/>
      </w:pPr>
      <w:r>
        <w:rPr>
          <w:b/>
          <w:bCs/>
          <w:color w:val="534AB7"/>
        </w:rPr>
        <w:t xml:space="preserve">4. A real sourcing gap, found while checking this</w:t>
      </w:r>
    </w:p>
    <w:p>
      <w:pPr>
        <w:spacing w:after="160"/>
      </w:pPr>
      <w:r>
        <w:rPr>
          <w:b w:val="false"/>
          <w:bCs w:val="false"/>
          <w:i w:val="false"/>
          <w:iCs w:val="false"/>
          <w:color w:val="5F5E5A"/>
        </w:rPr>
        <w:t xml:space="preserve">Every existing topic-bank item cites a registry_source, e.g. "positive_collocations_registry.tsv:climate+adjective_modifier+collocate='cold':confidence=0.92" — implying a real underlying registry file. Checked directly: this file does not exist anywhere in the accessible project folders (full pipleine, gold, or any connected folder). Whatever process built the original 10 topics either had access to a registry that isn't part of this project's accessible files, or the citation is aspirational rather than a live pointer — not resolved here. Practical consequence: new content (new topics, both academic tiers) cannot simply "pull from the existing registry" the way the citations imply — it needs its own real, defensible source (a genuine published academic collocation/word list or corpus frequency data), authored with the same rigor as the existing banks, not invented ad hoc and not silently assumed to come from a file that isn't there.</w:t>
      </w:r>
    </w:p>
    <w:p>
      <w:pPr>
        <w:pStyle w:val="Heading1"/>
        <w:spacing w:after="120" w:before="300"/>
      </w:pPr>
      <w:r>
        <w:rPr>
          <w:b/>
          <w:bCs/>
          <w:color w:val="534AB7"/>
        </w:rPr>
        <w:t xml:space="preserve">5. Open / provisional</w:t>
      </w:r>
    </w:p>
    <w:p>
      <w:pPr>
        <w:pStyle w:val="ListParagraph"/>
        <w:numPr>
          <w:ilvl w:val="0"/>
          <w:numId w:val="2"/>
        </w:numPr>
        <w:spacing w:after="80"/>
      </w:pPr>
      <w:r>
        <w:rPr>
          <w:color w:val="5F5E5A"/>
        </w:rPr>
        <w:t xml:space="preserve">Tier 1/2/3 priority ordering above is reasoned from IELTS Task 2 topic frequency and this project's own prompt bank, not from a formal frequency count across a large real prompt corpus — a first-pass prioritization, not a final one.</w:t>
      </w:r>
    </w:p>
    <w:p>
      <w:pPr>
        <w:pStyle w:val="ListParagraph"/>
        <w:numPr>
          <w:ilvl w:val="0"/>
          <w:numId w:val="2"/>
        </w:numPr>
        <w:spacing w:after="80"/>
      </w:pPr>
      <w:r>
        <w:rPr>
          <w:color w:val="5F5E5A"/>
        </w:rPr>
        <w:t xml:space="preserve">Whether academic_collocation items live in each topic's "general" subtopic or a new dedicated subtopic is an open schema decision.</w:t>
      </w:r>
    </w:p>
    <w:p>
      <w:pPr>
        <w:pStyle w:val="ListParagraph"/>
        <w:numPr>
          <w:ilvl w:val="0"/>
          <w:numId w:val="2"/>
        </w:numPr>
        <w:spacing w:after="80"/>
      </w:pPr>
      <w:r>
        <w:rPr>
          <w:color w:val="5F5E5A"/>
        </w:rPr>
        <w:t xml:space="preserve">The CEFR/register quality bar in §2.3 needs an actual source list to check against, not just a stated intention.</w:t>
      </w:r>
    </w:p>
    <w:p>
      <w:pPr>
        <w:pStyle w:val="ListParagraph"/>
        <w:numPr>
          <w:ilvl w:val="0"/>
          <w:numId w:val="2"/>
        </w:numPr>
        <w:spacing w:after="80"/>
      </w:pPr>
      <w:r>
        <w:rPr>
          <w:color w:val="5F5E5A"/>
        </w:rPr>
        <w:t xml:space="preserve">This spec does not include the new content itself (the phrases/collocations) — that's the next, separate authoring step once the shape above is confirmed.</w:t>
      </w:r>
    </w:p>
    <w:p>
      <w:pPr>
        <w:pStyle w:val="Heading1"/>
        <w:spacing w:after="120" w:before="300"/>
      </w:pPr>
      <w:r>
        <w:rPr>
          <w:b/>
          <w:bCs/>
          <w:color w:val="534AB7"/>
        </w:rPr>
        <w:t xml:space="preserve">6.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c>
          <w:tcPr>
            <w:tcW w:type="pct" w:w="5000%"/>
            <w:shd w:fill="EEEDFE" w:val="clear"/>
            <w:tcMar>
              <w:top w:type="dxa" w:w="80"/>
              <w:left w:type="dxa" w:w="100"/>
              <w:bottom w:type="dxa" w:w="80"/>
              <w:right w:type="dxa" w:w="100"/>
            </w:tcMar>
          </w:tcPr>
          <w:p>
            <w:r>
              <w:rPr>
                <w:b/>
                <w:bCs/>
                <w:color w:val="534AB7"/>
                <w:sz w:val="19"/>
                <w:szCs w:val="19"/>
              </w:rPr>
              <w:t xml:space="preserve">Item</w:t>
            </w:r>
          </w:p>
        </w:tc>
        <w:tc>
          <w:tcPr>
            <w:tcW w:type="pct" w:w="2500%"/>
            <w:shd w:fill="EEEDFE" w:val="clear"/>
            <w:tcMar>
              <w:top w:type="dxa" w:w="80"/>
              <w:left w:type="dxa" w:w="100"/>
              <w:bottom w:type="dxa" w:w="80"/>
              <w:right w:type="dxa" w:w="100"/>
            </w:tcMar>
          </w:tcPr>
          <w:p>
            <w:r>
              <w:rPr>
                <w:b/>
                <w:bCs/>
                <w:color w:val="534AB7"/>
                <w:sz w:val="19"/>
                <w:szCs w:val="19"/>
              </w:rPr>
              <w:t xml:space="preserve">Status</w:t>
            </w:r>
          </w:p>
        </w:tc>
        <w:tc>
          <w:tcPr>
            <w:tcW w:type="pct" w:w="2500%"/>
            <w:shd w:fill="EEEDFE" w:val="clear"/>
            <w:tcMar>
              <w:top w:type="dxa" w:w="80"/>
              <w:left w:type="dxa" w:w="100"/>
              <w:bottom w:type="dxa" w:w="80"/>
              <w:right w:type="dxa" w:w="100"/>
            </w:tcMar>
          </w:tcPr>
          <w:p>
            <w:r>
              <w:rPr>
                <w:b/>
                <w:bCs/>
                <w:color w:val="534AB7"/>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New topics identified + prioritized</w:t>
            </w:r>
          </w:p>
        </w:tc>
        <w:tc>
          <w:tcPr>
            <w:tcW w:type="pct" w:w="20%"/>
            <w:shd w:fill="E1F5EE" w:val="clear"/>
            <w:tcMar>
              <w:top w:type="dxa" w:w="80"/>
              <w:left w:type="dxa" w:w="100"/>
              <w:bottom w:type="dxa" w:w="80"/>
              <w:right w:type="dxa" w:w="100"/>
            </w:tcMar>
          </w:tcPr>
          <w:p>
            <w:r>
              <w:rPr>
                <w:b/>
                <w:bCs/>
                <w:color w:val="0F6E56"/>
                <w:sz w:val="19"/>
                <w:szCs w:val="19"/>
              </w:rPr>
              <w:t xml:space="preserve">Spec'd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Academic vocabulary two-tier design + topic-alignment answer</w:t>
            </w:r>
          </w:p>
        </w:tc>
        <w:tc>
          <w:tcPr>
            <w:tcW w:type="pct" w:w="20%"/>
            <w:shd w:fill="E1F5EE" w:val="clear"/>
            <w:tcMar>
              <w:top w:type="dxa" w:w="80"/>
              <w:left w:type="dxa" w:w="100"/>
              <w:bottom w:type="dxa" w:w="80"/>
              <w:right w:type="dxa" w:w="100"/>
            </w:tcMar>
          </w:tcPr>
          <w:p>
            <w:r>
              <w:rPr>
                <w:b/>
                <w:bCs/>
                <w:color w:val="0F6E56"/>
                <w:sz w:val="19"/>
                <w:szCs w:val="19"/>
              </w:rPr>
              <w:t xml:space="preserve">Spec'd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Schema plan for both tiers</w:t>
            </w:r>
          </w:p>
        </w:tc>
        <w:tc>
          <w:tcPr>
            <w:tcW w:type="pct" w:w="20%"/>
            <w:shd w:fill="E1F5EE" w:val="clear"/>
            <w:tcMar>
              <w:top w:type="dxa" w:w="80"/>
              <w:left w:type="dxa" w:w="100"/>
              <w:bottom w:type="dxa" w:w="80"/>
              <w:right w:type="dxa" w:w="100"/>
            </w:tcMar>
          </w:tcPr>
          <w:p>
            <w:r>
              <w:rPr>
                <w:b/>
                <w:bCs/>
                <w:color w:val="0F6E56"/>
                <w:sz w:val="19"/>
                <w:szCs w:val="19"/>
              </w:rPr>
              <w:t xml:space="preserve">Spec'd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Registry-source gap for new content</w:t>
            </w:r>
          </w:p>
        </w:tc>
        <w:tc>
          <w:tcPr>
            <w:tcW w:type="pct" w:w="20%"/>
            <w:shd w:fill="FBF3DE" w:val="clear"/>
            <w:tcMar>
              <w:top w:type="dxa" w:w="80"/>
              <w:left w:type="dxa" w:w="100"/>
              <w:bottom w:type="dxa" w:w="80"/>
              <w:right w:type="dxa" w:w="100"/>
            </w:tcMar>
          </w:tcPr>
          <w:p>
            <w:r>
              <w:rPr>
                <w:b/>
                <w:bCs/>
                <w:color w:val="8A6D1E"/>
                <w:sz w:val="19"/>
                <w:szCs w:val="19"/>
              </w:rPr>
              <w:t xml:space="preserve">Confirmed, unresolved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Actual new content (phrases/collocations)</w:t>
            </w:r>
          </w:p>
        </w:tc>
        <w:tc>
          <w:tcPr>
            <w:tcW w:type="pct" w:w="20%"/>
            <w:shd w:fill="FBEAF0" w:val="clear"/>
            <w:tcMar>
              <w:top w:type="dxa" w:w="80"/>
              <w:left w:type="dxa" w:w="100"/>
              <w:bottom w:type="dxa" w:w="80"/>
              <w:right w:type="dxa" w:w="100"/>
            </w:tcMar>
          </w:tcPr>
          <w:p>
            <w:r>
              <w:rPr>
                <w:b/>
                <w:bCs/>
                <w:color w:val="993556"/>
                <w:sz w:val="19"/>
                <w:szCs w:val="19"/>
              </w:rPr>
              <w:t xml:space="preserve">Not started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Any code written</w:t>
            </w:r>
          </w:p>
        </w:tc>
        <w:tc>
          <w:tcPr>
            <w:tcW w:type="pct" w:w="20%"/>
            <w:shd w:fill="FBEAF0" w:val="clear"/>
            <w:tcMar>
              <w:top w:type="dxa" w:w="80"/>
              <w:left w:type="dxa" w:w="100"/>
              <w:bottom w:type="dxa" w:w="80"/>
              <w:right w:type="dxa" w:w="100"/>
            </w:tcMar>
          </w:tcPr>
          <w:p>
            <w:r>
              <w:rPr>
                <w:b/>
                <w:bCs/>
                <w:color w:val="993556"/>
                <w:sz w:val="19"/>
                <w:szCs w:val="19"/>
              </w:rPr>
              <w:t xml:space="preserve">Not yet — spec only</w:t>
            </w:r>
          </w:p>
        </w:tc>
        <w:tc>
          <w:tcPr>
            <w:tcW w:type="pct" w:w="2500%"/>
            <w:tcMar>
              <w:top w:type="dxa" w:w="80"/>
              <w:left w:type="dxa" w:w="100"/>
              <w:bottom w:type="dxa" w:w="80"/>
              <w:right w:type="dxa" w:w="100"/>
            </w:tcMar>
          </w:tcPr>
          <w:p>
            <w:r>
              <w:rPr>
                <w:color w:val="5F5E5A"/>
                <w:sz w:val="19"/>
                <w:szCs w:val="19"/>
              </w:rPr>
              <w:t xml:space="preserve"/>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2026-07-22T15:21:39.770Z</dcterms:created>
  <dcterms:modified xsi:type="dcterms:W3CDTF">2026-07-22T15:21:39.772Z</dcterms:modified>
</cp:coreProperties>
</file>

<file path=docProps/custom.xml><?xml version="1.0" encoding="utf-8"?>
<Properties xmlns="http://schemas.openxmlformats.org/officeDocument/2006/custom-properties" xmlns:vt="http://schemas.openxmlformats.org/officeDocument/2006/docPropsVTypes"/>
</file>