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6E37B4">
      <w:pPr>
        <w:spacing w:after="120"/>
        <w:jc w:val="center"/>
      </w:pPr>
      <w:r>
        <w:rPr>
          <w:rFonts w:ascii="Times New Roman" w:hAnsi="Times New Roman" w:eastAsia="黑体"/>
          <w:b/>
          <w:sz w:val="36"/>
        </w:rPr>
        <w:t>课题背景知识文档</w:t>
      </w:r>
    </w:p>
    <w:p w14:paraId="43E5B2A3">
      <w:pPr>
        <w:spacing w:before="280" w:after="120"/>
      </w:pPr>
      <w:bookmarkStart w:id="0" w:name="_GoBack"/>
      <w:bookmarkEnd w:id="0"/>
      <w:r>
        <w:rPr>
          <w:rFonts w:ascii="Times New Roman" w:hAnsi="Times New Roman" w:eastAsia="黑体"/>
          <w:b/>
          <w:sz w:val="30"/>
        </w:rPr>
        <w:t>第一部分　五个泛化场景说明</w:t>
      </w:r>
    </w:p>
    <w:p w14:paraId="4B8D038F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i w:val="0"/>
          <w:sz w:val="22"/>
        </w:rPr>
        <w:t>本系统在跨场景泛化实验中定义了五个场景族（coastal joint assault 沿海联合突击、urban hub defense 城市枢纽防御、mountain corridor reconnaissance 山地走廊侦察、river crossing breakthrough 渡河突破、island resupply corridor 岛屿补给走廊保障），覆盖进攻（assault）、防御（defense）、侦察（recon）、保障（sustain）四类任务类型。场景定义、地形天气、兵力数量与威胁系数来自论文 Table 6；我方/敌方装备构成为基于系统装备库（用户指导手册 7.3 节）的说明性编排，供理解场景全貌使用。</w:t>
      </w:r>
    </w:p>
    <w:p w14:paraId="4394374D">
      <w:pPr>
        <w:spacing w:after="80"/>
      </w:pPr>
      <w:r>
        <w:rPr>
          <w:rFonts w:ascii="Times New Roman" w:hAnsi="Times New Roman" w:eastAsia="楷体"/>
          <w:i/>
          <w:color w:val="606060"/>
          <w:sz w:val="19"/>
        </w:rPr>
        <w:t>说明：文中加粗字段为论文/系统的官方定义（数据可核查）；装备构成与威胁系数解读为说明性编排，如需精确引用可标注“示例构成”。</w:t>
      </w:r>
    </w:p>
    <w:p w14:paraId="743BDFDF">
      <w:pPr>
        <w:spacing w:before="200" w:after="80"/>
      </w:pPr>
      <w:r>
        <w:rPr>
          <w:rFonts w:ascii="Times New Roman" w:hAnsi="Times New Roman" w:eastAsia="黑体"/>
          <w:b/>
          <w:sz w:val="26"/>
        </w:rPr>
        <w:t>场景一　沿海联合突击（Coastal Joint Assault）</w:t>
      </w:r>
    </w:p>
    <w:p w14:paraId="43D32B37">
      <w:pPr>
        <w:spacing w:before="120" w:after="60"/>
      </w:pPr>
      <w:r>
        <w:rPr>
          <w:rFonts w:ascii="Times New Roman" w:hAnsi="Times New Roman" w:eastAsia="黑体"/>
          <w:b/>
          <w:sz w:val="23"/>
        </w:rPr>
        <w:t>任务</w:t>
      </w:r>
    </w:p>
    <w:p w14:paraId="3B3A4DC6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i w:val="0"/>
          <w:sz w:val="22"/>
        </w:rPr>
        <w:t>夺取登陆窗口，压制敌方岸防与防空节点，为后续两栖兵力上陆和扩展创造条件——即“先扫清滩头威胁，再送人上岸”。这是五个场景中对抗强度最高、要素最全的场景，也是论文主消融实验使用的场景。</w:t>
      </w:r>
    </w:p>
    <w:p w14:paraId="5570AFF2">
      <w:pPr>
        <w:spacing w:before="120" w:after="60"/>
      </w:pPr>
      <w:r>
        <w:rPr>
          <w:rFonts w:ascii="Times New Roman" w:hAnsi="Times New Roman" w:eastAsia="黑体"/>
          <w:b/>
          <w:sz w:val="23"/>
        </w:rPr>
        <w:t>地形与天气</w:t>
      </w:r>
    </w:p>
    <w:p w14:paraId="5BDCE840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i w:val="0"/>
          <w:sz w:val="22"/>
        </w:rPr>
        <w:t>海岸-城市复合地形（coastal-urban），降雨（rain）。雨雾降低光学探测效能，对态势感知（awareness）形成压制。</w:t>
      </w:r>
    </w:p>
    <w:p w14:paraId="510DBD27">
      <w:pPr>
        <w:spacing w:before="120" w:after="60"/>
      </w:pPr>
      <w:r>
        <w:rPr>
          <w:rFonts w:ascii="Times New Roman" w:hAnsi="Times New Roman" w:eastAsia="黑体"/>
          <w:b/>
          <w:sz w:val="23"/>
        </w:rPr>
        <w:t>兵力对比与敌我装备</w:t>
      </w:r>
    </w:p>
    <w:p w14:paraId="3940A504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i w:val="0"/>
          <w:sz w:val="22"/>
        </w:rPr>
        <w:t>我方 5 个作战单元 vs 敌方 3 个作战单元（全场景最大规模）。</w:t>
      </w:r>
    </w:p>
    <w:p w14:paraId="46C8A5B9">
      <w:pPr>
        <w:spacing w:after="40" w:line="360" w:lineRule="auto"/>
        <w:ind w:left="440" w:hanging="220"/>
      </w:pPr>
      <w:r>
        <w:rPr>
          <w:rFonts w:ascii="Times New Roman" w:hAnsi="Times New Roman" w:eastAsia="宋体"/>
          <w:sz w:val="22"/>
        </w:rPr>
        <w:t>▪ 敌方（说明性编排）：岸防火力节点、近岸防空导弹阵地、侦察与自杀式无人机蜂群，以及水面快艇袭扰——典型“海岸线多层防御”。</w:t>
      </w:r>
    </w:p>
    <w:p w14:paraId="701D8E6E">
      <w:pPr>
        <w:spacing w:after="40" w:line="360" w:lineRule="auto"/>
        <w:ind w:left="440" w:hanging="220"/>
      </w:pPr>
      <w:r>
        <w:rPr>
          <w:rFonts w:ascii="Times New Roman" w:hAnsi="Times New Roman" w:eastAsia="宋体"/>
          <w:sz w:val="22"/>
        </w:rPr>
        <w:t>▪ 我方（示例编排）：JY-17B 低空搜索雷达（态势感知）、陆盾-3000 弹炮合一防空系统（火力+防护）、天猎-1 拦截无人机（机动拦截）、LW-30 激光反无人机系统（低成本精确毁伤）、DWL-200 车载电子对抗（电磁压制）。</w:t>
      </w:r>
    </w:p>
    <w:p w14:paraId="760DEABD">
      <w:pPr>
        <w:spacing w:before="120" w:after="60"/>
      </w:pPr>
      <w:r>
        <w:rPr>
          <w:rFonts w:ascii="Times New Roman" w:hAnsi="Times New Roman" w:eastAsia="黑体"/>
          <w:b/>
          <w:sz w:val="23"/>
        </w:rPr>
        <w:t>威胁系数解读</w:t>
      </w:r>
    </w:p>
    <w:p w14:paraId="711124DC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i w:val="0"/>
          <w:sz w:val="22"/>
        </w:rPr>
        <w:t>威胁度 0.74（全场景最高）、电磁对抗强度 0.68、时间压力 0.77（全场景最高）——即“敌强、电磁环境差、时间紧”，方案必须同时处理好火力、电子战与节奏三件事。</w:t>
      </w:r>
    </w:p>
    <w:p w14:paraId="21913117">
      <w:pPr>
        <w:spacing w:before="120" w:after="60"/>
      </w:pPr>
      <w:r>
        <w:rPr>
          <w:rFonts w:ascii="Times New Roman" w:hAnsi="Times New Roman" w:eastAsia="黑体"/>
          <w:b/>
          <w:sz w:val="23"/>
        </w:rPr>
        <w:t>涉及能力维度</w:t>
      </w:r>
    </w:p>
    <w:p w14:paraId="4E46BDDD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i w:val="0"/>
          <w:sz w:val="22"/>
        </w:rPr>
        <w:t>火力、机动、态势感知、电子对抗、指挥控制——五个域全开，最能体现系统自适应能力（对应实验中任务成功率增益最大 +5.15 点）。</w:t>
      </w:r>
    </w:p>
    <w:p w14:paraId="0260DFA6">
      <w:pPr>
        <w:spacing w:before="200" w:after="80"/>
      </w:pPr>
      <w:r>
        <w:rPr>
          <w:rFonts w:ascii="Times New Roman" w:hAnsi="Times New Roman" w:eastAsia="黑体"/>
          <w:b/>
          <w:sz w:val="26"/>
        </w:rPr>
        <w:t>场景二　城市枢纽防御（Urban Hub Defense）</w:t>
      </w:r>
    </w:p>
    <w:p w14:paraId="1D91B6F0">
      <w:pPr>
        <w:spacing w:before="120" w:after="60"/>
      </w:pPr>
      <w:r>
        <w:rPr>
          <w:rFonts w:ascii="Times New Roman" w:hAnsi="Times New Roman" w:eastAsia="黑体"/>
          <w:b/>
          <w:sz w:val="23"/>
        </w:rPr>
        <w:t>任务</w:t>
      </w:r>
    </w:p>
    <w:p w14:paraId="4FBB176C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i w:val="0"/>
          <w:sz w:val="22"/>
        </w:rPr>
        <w:t>守住交通与通信枢纽，抵御敌方装甲部队的城市突击——典型“城市要点防御”，重点是防突破而非主动出击。</w:t>
      </w:r>
    </w:p>
    <w:p w14:paraId="7CE4C489">
      <w:pPr>
        <w:spacing w:before="120" w:after="60"/>
      </w:pPr>
      <w:r>
        <w:rPr>
          <w:rFonts w:ascii="Times New Roman" w:hAnsi="Times New Roman" w:eastAsia="黑体"/>
          <w:b/>
          <w:sz w:val="23"/>
        </w:rPr>
        <w:t>地形与天气</w:t>
      </w:r>
    </w:p>
    <w:p w14:paraId="7C8F55AE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i w:val="0"/>
          <w:sz w:val="22"/>
        </w:rPr>
        <w:t>城市（urban），浓雾（fog）。建筑物遮蔽加雾天，光电探测大打折扣，且存在平民问题（civilian presence）约束。</w:t>
      </w:r>
    </w:p>
    <w:p w14:paraId="68AB0EF3">
      <w:pPr>
        <w:spacing w:before="120" w:after="60"/>
      </w:pPr>
      <w:r>
        <w:rPr>
          <w:rFonts w:ascii="Times New Roman" w:hAnsi="Times New Roman" w:eastAsia="黑体"/>
          <w:b/>
          <w:sz w:val="23"/>
        </w:rPr>
        <w:t>兵力对比与敌我装备</w:t>
      </w:r>
    </w:p>
    <w:p w14:paraId="190BBA65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i w:val="0"/>
          <w:sz w:val="22"/>
        </w:rPr>
        <w:t>我方 4 vs 敌方 2。</w:t>
      </w:r>
    </w:p>
    <w:p w14:paraId="2C00B799">
      <w:pPr>
        <w:spacing w:after="40" w:line="360" w:lineRule="auto"/>
        <w:ind w:left="440" w:hanging="220"/>
      </w:pPr>
      <w:r>
        <w:rPr>
          <w:rFonts w:ascii="Times New Roman" w:hAnsi="Times New Roman" w:eastAsia="宋体"/>
          <w:sz w:val="22"/>
        </w:rPr>
        <w:t>▪ 敌方（说明性编排）：装甲突击分队（主攻轴线）、伴随小型无人机侦察、隐蔽的火箭筒/迫击炮火力点。</w:t>
      </w:r>
    </w:p>
    <w:p w14:paraId="0C17D561">
      <w:pPr>
        <w:spacing w:after="40" w:line="360" w:lineRule="auto"/>
        <w:ind w:left="440" w:hanging="220"/>
      </w:pPr>
      <w:r>
        <w:rPr>
          <w:rFonts w:ascii="Times New Roman" w:hAnsi="Times New Roman" w:eastAsia="宋体"/>
          <w:sz w:val="22"/>
        </w:rPr>
        <w:t>▪ 我方（示例编排）：无线电侦测站（被动侦察，抗雾抗遮挡）、JY-17B 低空雷达、红旗-17A 近程防空导弹（保卫枢纽上空）、CHL-802 便携式干扰枪（近距离软杀伤、控制附带损伤）。</w:t>
      </w:r>
    </w:p>
    <w:p w14:paraId="58205FC8">
      <w:pPr>
        <w:spacing w:before="120" w:after="60"/>
      </w:pPr>
      <w:r>
        <w:rPr>
          <w:rFonts w:ascii="Times New Roman" w:hAnsi="Times New Roman" w:eastAsia="黑体"/>
          <w:b/>
          <w:sz w:val="23"/>
        </w:rPr>
        <w:t>威胁系数解读</w:t>
      </w:r>
    </w:p>
    <w:p w14:paraId="49AE78AA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i w:val="0"/>
          <w:sz w:val="22"/>
        </w:rPr>
        <w:t>威胁度 0.69、电磁对抗 0.54、时间压力 0.66——中等强度；核心难点是“城市三维空间 + 平民保护 + 软杀伤优先”的约束组合，而不是硬火力。</w:t>
      </w:r>
    </w:p>
    <w:p w14:paraId="3EABC6E9">
      <w:pPr>
        <w:spacing w:before="120" w:after="60"/>
      </w:pPr>
      <w:r>
        <w:rPr>
          <w:rFonts w:ascii="Times New Roman" w:hAnsi="Times New Roman" w:eastAsia="黑体"/>
          <w:b/>
          <w:sz w:val="23"/>
        </w:rPr>
        <w:t>涉及能力维度</w:t>
      </w:r>
    </w:p>
    <w:p w14:paraId="60F431FF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i w:val="0"/>
          <w:sz w:val="22"/>
        </w:rPr>
        <w:t>态势感知、电子对抗、防护、指挥控制——城市环境对“避免误伤”和“精确识别”要求极高。</w:t>
      </w:r>
    </w:p>
    <w:p w14:paraId="552DCE10">
      <w:pPr>
        <w:spacing w:before="120" w:after="60"/>
      </w:pPr>
      <w:r>
        <w:rPr>
          <w:rFonts w:ascii="Times New Roman" w:hAnsi="Times New Roman" w:eastAsia="黑体"/>
          <w:b/>
          <w:sz w:val="23"/>
        </w:rPr>
        <w:t>实验备注</w:t>
      </w:r>
    </w:p>
    <w:p w14:paraId="51A25C1B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i w:val="0"/>
          <w:sz w:val="22"/>
        </w:rPr>
        <w:t>此场景任务成功率增益 +1.04（五场景最小）——因为纯 LLM 基线本身已较高（68.05），可解释为“基线强、提升空间小”。</w:t>
      </w:r>
    </w:p>
    <w:p w14:paraId="54849209">
      <w:pPr>
        <w:spacing w:before="200" w:after="80"/>
      </w:pPr>
      <w:r>
        <w:rPr>
          <w:rFonts w:ascii="Times New Roman" w:hAnsi="Times New Roman" w:eastAsia="黑体"/>
          <w:b/>
          <w:sz w:val="26"/>
        </w:rPr>
        <w:t>场景三　山地走廊侦察（Mountain Corridor Reconnaissance）</w:t>
      </w:r>
    </w:p>
    <w:p w14:paraId="20D51BF6">
      <w:pPr>
        <w:spacing w:before="120" w:after="60"/>
      </w:pPr>
      <w:r>
        <w:rPr>
          <w:rFonts w:ascii="Times New Roman" w:hAnsi="Times New Roman" w:eastAsia="黑体"/>
          <w:b/>
          <w:sz w:val="23"/>
        </w:rPr>
        <w:t>任务</w:t>
      </w:r>
    </w:p>
    <w:p w14:paraId="0D984819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i w:val="0"/>
          <w:sz w:val="22"/>
        </w:rPr>
        <w:t>在低能见度条件下收集敌方火力节点与补给线情报——侦察而非交战，方案重点是“看得远、藏得住、传得回”。</w:t>
      </w:r>
    </w:p>
    <w:p w14:paraId="386B3CB4">
      <w:pPr>
        <w:spacing w:before="120" w:after="60"/>
      </w:pPr>
      <w:r>
        <w:rPr>
          <w:rFonts w:ascii="Times New Roman" w:hAnsi="Times New Roman" w:eastAsia="黑体"/>
          <w:b/>
          <w:sz w:val="23"/>
        </w:rPr>
        <w:t>地形与天气</w:t>
      </w:r>
    </w:p>
    <w:p w14:paraId="2698ABAB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i w:val="0"/>
          <w:sz w:val="22"/>
        </w:rPr>
        <w:t>山地走廊（mountain corridor），多云（cloudy）。山地遮挡严重，无线电视距受限。</w:t>
      </w:r>
    </w:p>
    <w:p w14:paraId="1E745833">
      <w:pPr>
        <w:spacing w:before="120" w:after="60"/>
      </w:pPr>
      <w:r>
        <w:rPr>
          <w:rFonts w:ascii="Times New Roman" w:hAnsi="Times New Roman" w:eastAsia="黑体"/>
          <w:b/>
          <w:sz w:val="23"/>
        </w:rPr>
        <w:t>兵力对比与敌我装备</w:t>
      </w:r>
    </w:p>
    <w:p w14:paraId="5C728D30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i w:val="0"/>
          <w:sz w:val="22"/>
        </w:rPr>
        <w:t>我方 3 vs 敌方 2（全场景最小规模，轻型化编成）。</w:t>
      </w:r>
    </w:p>
    <w:p w14:paraId="5E28C37D">
      <w:pPr>
        <w:spacing w:after="40" w:line="360" w:lineRule="auto"/>
        <w:ind w:left="440" w:hanging="220"/>
      </w:pPr>
      <w:r>
        <w:rPr>
          <w:rFonts w:ascii="Times New Roman" w:hAnsi="Times New Roman" w:eastAsia="宋体"/>
          <w:sz w:val="22"/>
        </w:rPr>
        <w:t>▪ 敌方（说明性编排）：隐蔽火炮/火箭炮火力节点、补给车队、少量无人机监视。</w:t>
      </w:r>
    </w:p>
    <w:p w14:paraId="269638E4">
      <w:pPr>
        <w:spacing w:after="40" w:line="360" w:lineRule="auto"/>
        <w:ind w:left="440" w:hanging="220"/>
      </w:pPr>
      <w:r>
        <w:rPr>
          <w:rFonts w:ascii="Times New Roman" w:hAnsi="Times New Roman" w:eastAsia="宋体"/>
          <w:sz w:val="22"/>
        </w:rPr>
        <w:t>▪ 我方（示例编排）：侦察无人机（抵近侦察）、DWL-500 光电探测系统（光学侦察）、无线电侦测站（被动定位敌方通信与雷达信号）。</w:t>
      </w:r>
    </w:p>
    <w:p w14:paraId="5DB3B641">
      <w:pPr>
        <w:spacing w:before="120" w:after="60"/>
      </w:pPr>
      <w:r>
        <w:rPr>
          <w:rFonts w:ascii="Times New Roman" w:hAnsi="Times New Roman" w:eastAsia="黑体"/>
          <w:b/>
          <w:sz w:val="23"/>
        </w:rPr>
        <w:t>威胁系数解读</w:t>
      </w:r>
    </w:p>
    <w:p w14:paraId="7FE5CB68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i w:val="0"/>
          <w:sz w:val="22"/>
        </w:rPr>
        <w:t>威胁度 0.58、电磁对抗 0.46、时间压力 0.55——全场景最低威胁组；难点不在“打不打得过”，而在“看不看得见、连不连得通”（山地对 awareness 与 C2 的考验）。</w:t>
      </w:r>
    </w:p>
    <w:p w14:paraId="0ECB97EA">
      <w:pPr>
        <w:spacing w:before="120" w:after="60"/>
      </w:pPr>
      <w:r>
        <w:rPr>
          <w:rFonts w:ascii="Times New Roman" w:hAnsi="Times New Roman" w:eastAsia="黑体"/>
          <w:b/>
          <w:sz w:val="23"/>
        </w:rPr>
        <w:t>涉及能力维度</w:t>
      </w:r>
    </w:p>
    <w:p w14:paraId="4D6EBE75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i w:val="0"/>
          <w:sz w:val="22"/>
        </w:rPr>
        <w:t>态势感知、机动、指挥控制——侦察类场景的典型维度子集。</w:t>
      </w:r>
    </w:p>
    <w:p w14:paraId="4871C945">
      <w:pPr>
        <w:spacing w:before="120" w:after="60"/>
      </w:pPr>
      <w:r>
        <w:rPr>
          <w:rFonts w:ascii="Times New Roman" w:hAnsi="Times New Roman" w:eastAsia="黑体"/>
          <w:b/>
          <w:sz w:val="23"/>
        </w:rPr>
        <w:t>实验备注</w:t>
      </w:r>
    </w:p>
    <w:p w14:paraId="58BD5B08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i w:val="0"/>
          <w:sz w:val="22"/>
        </w:rPr>
        <w:t>任务成功率增益 +1.86，纯 LLM 基线（68.59）本就较高，Full 提升到 70.45。</w:t>
      </w:r>
    </w:p>
    <w:p w14:paraId="389AEFF8">
      <w:pPr>
        <w:spacing w:before="200" w:after="80"/>
      </w:pPr>
      <w:r>
        <w:rPr>
          <w:rFonts w:ascii="Times New Roman" w:hAnsi="Times New Roman" w:eastAsia="黑体"/>
          <w:b/>
          <w:sz w:val="26"/>
        </w:rPr>
        <w:t>场景四　渡河突破（River Crossing Breakthrough）</w:t>
      </w:r>
    </w:p>
    <w:p w14:paraId="6AE3809D">
      <w:pPr>
        <w:spacing w:before="120" w:after="60"/>
      </w:pPr>
      <w:r>
        <w:rPr>
          <w:rFonts w:ascii="Times New Roman" w:hAnsi="Times New Roman" w:eastAsia="黑体"/>
          <w:b/>
          <w:sz w:val="23"/>
        </w:rPr>
        <w:t>任务</w:t>
      </w:r>
    </w:p>
    <w:p w14:paraId="0089D5B4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i w:val="0"/>
          <w:sz w:val="22"/>
        </w:rPr>
        <w:t>在敌方有防御的情况下开辟渡河窗口并巩固桥头堡——进攻性场景，“过河”和“站稳”两件事都要做到，天然考验“突破（breach）”环节。</w:t>
      </w:r>
    </w:p>
    <w:p w14:paraId="19C5A6EC">
      <w:pPr>
        <w:spacing w:before="120" w:after="60"/>
      </w:pPr>
      <w:r>
        <w:rPr>
          <w:rFonts w:ascii="Times New Roman" w:hAnsi="Times New Roman" w:eastAsia="黑体"/>
          <w:b/>
          <w:sz w:val="23"/>
        </w:rPr>
        <w:t>地形与天气</w:t>
      </w:r>
    </w:p>
    <w:p w14:paraId="4EEF075D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i w:val="0"/>
          <w:sz w:val="22"/>
        </w:rPr>
        <w:t>河岸平原（river-plain），阴天（overcast）。</w:t>
      </w:r>
    </w:p>
    <w:p w14:paraId="21E1235A">
      <w:pPr>
        <w:spacing w:before="120" w:after="60"/>
      </w:pPr>
      <w:r>
        <w:rPr>
          <w:rFonts w:ascii="Times New Roman" w:hAnsi="Times New Roman" w:eastAsia="黑体"/>
          <w:b/>
          <w:sz w:val="23"/>
        </w:rPr>
        <w:t>兵力对比与敌我装备</w:t>
      </w:r>
    </w:p>
    <w:p w14:paraId="4EADB543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i w:val="0"/>
          <w:sz w:val="22"/>
        </w:rPr>
        <w:t>我方 4 vs 敌方 2。</w:t>
      </w:r>
    </w:p>
    <w:p w14:paraId="414B7D5F">
      <w:pPr>
        <w:spacing w:after="40" w:line="360" w:lineRule="auto"/>
        <w:ind w:left="440" w:hanging="220"/>
      </w:pPr>
      <w:r>
        <w:rPr>
          <w:rFonts w:ascii="Times New Roman" w:hAnsi="Times New Roman" w:eastAsia="宋体"/>
          <w:sz w:val="22"/>
        </w:rPr>
        <w:t>▪ 敌方（说明性编排）：对岸防御阵地（反坦克/防空火力）、渡口区雷场与障碍、无人机监视与袭扰。</w:t>
      </w:r>
    </w:p>
    <w:p w14:paraId="25C0EC7B">
      <w:pPr>
        <w:spacing w:after="40" w:line="360" w:lineRule="auto"/>
        <w:ind w:left="440" w:hanging="220"/>
      </w:pPr>
      <w:r>
        <w:rPr>
          <w:rFonts w:ascii="Times New Roman" w:hAnsi="Times New Roman" w:eastAsia="宋体"/>
          <w:sz w:val="22"/>
        </w:rPr>
        <w:t>▪ 我方（示例编排）：天猎-1 拦截无人机（压制对岸防空）、DWL-200 电子对抗（干扰敌侦察通信）、红旗-17A（掩护渡河车队）、陆盾-3000（综合防空+对地压制）。</w:t>
      </w:r>
    </w:p>
    <w:p w14:paraId="565B3CC2">
      <w:pPr>
        <w:spacing w:before="120" w:after="60"/>
      </w:pPr>
      <w:r>
        <w:rPr>
          <w:rFonts w:ascii="Times New Roman" w:hAnsi="Times New Roman" w:eastAsia="黑体"/>
          <w:b/>
          <w:sz w:val="23"/>
        </w:rPr>
        <w:t>威胁系数解读</w:t>
      </w:r>
    </w:p>
    <w:p w14:paraId="0294DBA8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i w:val="0"/>
          <w:sz w:val="22"/>
        </w:rPr>
        <w:t>威胁度 0.71、电磁对抗 0.57、时间压力 0.73——高威胁高时间压力，且渡河窗口是“一次性机会”，方案对时序（time）敏感。</w:t>
      </w:r>
    </w:p>
    <w:p w14:paraId="0CA0707E">
      <w:pPr>
        <w:spacing w:before="120" w:after="60"/>
      </w:pPr>
      <w:r>
        <w:rPr>
          <w:rFonts w:ascii="Times New Roman" w:hAnsi="Times New Roman" w:eastAsia="黑体"/>
          <w:b/>
          <w:sz w:val="23"/>
        </w:rPr>
        <w:t>涉及能力维度</w:t>
      </w:r>
    </w:p>
    <w:p w14:paraId="3415885E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i w:val="0"/>
          <w:sz w:val="22"/>
        </w:rPr>
        <w:t>火力、机动、防护、电子对抗——渡河是五阶段杀伤链中“突破（breach）”环节最典型的体现。</w:t>
      </w:r>
    </w:p>
    <w:p w14:paraId="0BDE995A">
      <w:pPr>
        <w:spacing w:before="120" w:after="60"/>
      </w:pPr>
      <w:r>
        <w:rPr>
          <w:rFonts w:ascii="Times New Roman" w:hAnsi="Times New Roman" w:eastAsia="黑体"/>
          <w:b/>
          <w:sz w:val="23"/>
        </w:rPr>
        <w:t>实验备注</w:t>
      </w:r>
    </w:p>
    <w:p w14:paraId="715C5498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i w:val="0"/>
          <w:sz w:val="22"/>
        </w:rPr>
        <w:t>任务成功率增益 +1.25（65.73→66.98）；值得注意的是论文在渡河场景中 Hope-only 一度反超 Full（−1.03 点），说明进攻时序类场景中权重调制的作用尤为突出。</w:t>
      </w:r>
    </w:p>
    <w:p w14:paraId="1AEB2456">
      <w:pPr>
        <w:spacing w:before="200" w:after="80"/>
      </w:pPr>
      <w:r>
        <w:rPr>
          <w:rFonts w:ascii="Times New Roman" w:hAnsi="Times New Roman" w:eastAsia="黑体"/>
          <w:b/>
          <w:sz w:val="26"/>
        </w:rPr>
        <w:t>场景五　岛屿补给走廊保障（Island Resupply Corridor）</w:t>
      </w:r>
    </w:p>
    <w:p w14:paraId="5D7FFB9E">
      <w:pPr>
        <w:spacing w:before="120" w:after="60"/>
      </w:pPr>
      <w:r>
        <w:rPr>
          <w:rFonts w:ascii="Times New Roman" w:hAnsi="Times New Roman" w:eastAsia="黑体"/>
          <w:b/>
          <w:sz w:val="23"/>
        </w:rPr>
        <w:t>任务</w:t>
      </w:r>
    </w:p>
    <w:p w14:paraId="5C263DAC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i w:val="0"/>
          <w:sz w:val="22"/>
        </w:rPr>
        <w:t>在敌方持续袭扰与拦阻下保持岛屿补给走廊畅通——保障（sustain）类场景，比前四个更强调“持续”而非“瞬间达成”。</w:t>
      </w:r>
    </w:p>
    <w:p w14:paraId="284C81EF">
      <w:pPr>
        <w:spacing w:before="120" w:after="60"/>
      </w:pPr>
      <w:r>
        <w:rPr>
          <w:rFonts w:ascii="Times New Roman" w:hAnsi="Times New Roman" w:eastAsia="黑体"/>
          <w:b/>
          <w:sz w:val="23"/>
        </w:rPr>
        <w:t>地形与天气</w:t>
      </w:r>
    </w:p>
    <w:p w14:paraId="32466134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i w:val="0"/>
          <w:sz w:val="22"/>
        </w:rPr>
        <w:t>海上-岛屿（maritime-island），大风（windy）。海况影响航行与无人机作业。</w:t>
      </w:r>
    </w:p>
    <w:p w14:paraId="738F0FF7">
      <w:pPr>
        <w:spacing w:before="120" w:after="60"/>
      </w:pPr>
      <w:r>
        <w:rPr>
          <w:rFonts w:ascii="Times New Roman" w:hAnsi="Times New Roman" w:eastAsia="黑体"/>
          <w:b/>
          <w:sz w:val="23"/>
        </w:rPr>
        <w:t>兵力对比与敌我装备</w:t>
      </w:r>
    </w:p>
    <w:p w14:paraId="498235CA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i w:val="0"/>
          <w:sz w:val="22"/>
        </w:rPr>
        <w:t>我方 4 vs 敌方 2。</w:t>
      </w:r>
    </w:p>
    <w:p w14:paraId="16D1581C">
      <w:pPr>
        <w:spacing w:after="40" w:line="360" w:lineRule="auto"/>
        <w:ind w:left="440" w:hanging="220"/>
      </w:pPr>
      <w:r>
        <w:rPr>
          <w:rFonts w:ascii="Times New Roman" w:hAnsi="Times New Roman" w:eastAsia="宋体"/>
          <w:sz w:val="22"/>
        </w:rPr>
        <w:t>▪ 敌方（说明性编排）：海上快艇袭扰编队、岸基反舰/防空火力、无人机持续监视与拦截。</w:t>
      </w:r>
    </w:p>
    <w:p w14:paraId="062432E7">
      <w:pPr>
        <w:spacing w:after="40" w:line="360" w:lineRule="auto"/>
        <w:ind w:left="440" w:hanging="220"/>
      </w:pPr>
      <w:r>
        <w:rPr>
          <w:rFonts w:ascii="Times New Roman" w:hAnsi="Times New Roman" w:eastAsia="宋体"/>
          <w:sz w:val="22"/>
        </w:rPr>
        <w:t>▪ 我方（示例编排）：无线电侦测站（海上态势感知）、高功率微波系统（对来袭无人机群软杀伤）、DWL-200 电子对抗（压制敌通信/导航）、陆盾-3000（护航防空）。</w:t>
      </w:r>
    </w:p>
    <w:p w14:paraId="64748C6F">
      <w:pPr>
        <w:spacing w:before="120" w:after="60"/>
      </w:pPr>
      <w:r>
        <w:rPr>
          <w:rFonts w:ascii="Times New Roman" w:hAnsi="Times New Roman" w:eastAsia="黑体"/>
          <w:b/>
          <w:sz w:val="23"/>
        </w:rPr>
        <w:t>威胁系数解读</w:t>
      </w:r>
    </w:p>
    <w:p w14:paraId="2E3C60FE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i w:val="0"/>
          <w:sz w:val="22"/>
        </w:rPr>
        <w:t>威胁度 0.63、电磁对抗 0.59（全场景最高电磁对抗之一）、时间压力 0.61——“电磁环境差 + 需要长时间保持”的组合，考验持续保障（sustainment）与电子对抗维度的协同。</w:t>
      </w:r>
    </w:p>
    <w:p w14:paraId="42DE7D52">
      <w:pPr>
        <w:spacing w:before="120" w:after="60"/>
      </w:pPr>
      <w:r>
        <w:rPr>
          <w:rFonts w:ascii="Times New Roman" w:hAnsi="Times New Roman" w:eastAsia="黑体"/>
          <w:b/>
          <w:sz w:val="23"/>
        </w:rPr>
        <w:t>涉及能力维度</w:t>
      </w:r>
    </w:p>
    <w:p w14:paraId="26F8DF87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i w:val="0"/>
          <w:sz w:val="22"/>
        </w:rPr>
        <w:t>持续保障、电子对抗、态势感知、指挥控制——保障类场景维度子集。</w:t>
      </w:r>
    </w:p>
    <w:p w14:paraId="6260D938">
      <w:pPr>
        <w:spacing w:before="120" w:after="60"/>
      </w:pPr>
      <w:r>
        <w:rPr>
          <w:rFonts w:ascii="Times New Roman" w:hAnsi="Times New Roman" w:eastAsia="黑体"/>
          <w:b/>
          <w:sz w:val="23"/>
        </w:rPr>
        <w:t>实验备注</w:t>
      </w:r>
    </w:p>
    <w:p w14:paraId="07F99296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i w:val="0"/>
          <w:sz w:val="22"/>
        </w:rPr>
        <w:t>任务成功率增益 +2.38（64.05→66.43），在五场景中位居第二，且论文三种子复现中“岛屿场景”是 Reflection-only 少数能反超基线的场景之一。</w:t>
      </w:r>
    </w:p>
    <w:p w14:paraId="4FFA01C7">
      <w:pPr>
        <w:spacing w:before="200" w:after="80"/>
      </w:pPr>
      <w:r>
        <w:rPr>
          <w:rFonts w:ascii="Times New Roman" w:hAnsi="Times New Roman" w:eastAsia="黑体"/>
          <w:b/>
          <w:sz w:val="26"/>
        </w:rPr>
        <w:t>五场景一页速览表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983"/>
        <w:gridCol w:w="1203"/>
        <w:gridCol w:w="2747"/>
        <w:gridCol w:w="976"/>
        <w:gridCol w:w="1448"/>
        <w:gridCol w:w="818"/>
      </w:tblGrid>
      <w:tr w14:paraId="6411D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D9E2F3"/>
          </w:tcPr>
          <w:p w14:paraId="7B76593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场景</w:t>
            </w:r>
          </w:p>
        </w:tc>
        <w:tc>
          <w:tcPr>
            <w:tcW w:w="1020" w:type="dxa"/>
            <w:shd w:val="clear" w:color="auto" w:fill="D9E2F3"/>
          </w:tcPr>
          <w:p w14:paraId="58BEB5B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类型</w:t>
            </w:r>
          </w:p>
        </w:tc>
        <w:tc>
          <w:tcPr>
            <w:tcW w:w="1361" w:type="dxa"/>
            <w:shd w:val="clear" w:color="auto" w:fill="D9E2F3"/>
          </w:tcPr>
          <w:p w14:paraId="739826D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地形/天气</w:t>
            </w:r>
          </w:p>
        </w:tc>
        <w:tc>
          <w:tcPr>
            <w:tcW w:w="3175" w:type="dxa"/>
            <w:shd w:val="clear" w:color="auto" w:fill="D9E2F3"/>
          </w:tcPr>
          <w:p w14:paraId="223818C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核心任务一句话</w:t>
            </w:r>
          </w:p>
        </w:tc>
        <w:tc>
          <w:tcPr>
            <w:tcW w:w="1077" w:type="dxa"/>
            <w:shd w:val="clear" w:color="auto" w:fill="D9E2F3"/>
          </w:tcPr>
          <w:p w14:paraId="36979FE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兵力(友/敌)</w:t>
            </w:r>
          </w:p>
        </w:tc>
        <w:tc>
          <w:tcPr>
            <w:tcW w:w="1474" w:type="dxa"/>
            <w:shd w:val="clear" w:color="auto" w:fill="D9E2F3"/>
          </w:tcPr>
          <w:p w14:paraId="67BDC41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威胁/EW/时间</w:t>
            </w:r>
          </w:p>
        </w:tc>
        <w:tc>
          <w:tcPr>
            <w:tcW w:w="850" w:type="dxa"/>
            <w:shd w:val="clear" w:color="auto" w:fill="D9E2F3"/>
          </w:tcPr>
          <w:p w14:paraId="42A93A2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ΔMS</w:t>
            </w:r>
          </w:p>
        </w:tc>
      </w:tr>
      <w:tr w14:paraId="58531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4E746CB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沿海突击</w:t>
            </w:r>
          </w:p>
        </w:tc>
        <w:tc>
          <w:tcPr>
            <w:tcW w:w="1020" w:type="dxa"/>
          </w:tcPr>
          <w:p w14:paraId="7B560AC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assault</w:t>
            </w:r>
          </w:p>
        </w:tc>
        <w:tc>
          <w:tcPr>
            <w:tcW w:w="1361" w:type="dxa"/>
          </w:tcPr>
          <w:p w14:paraId="59A75EA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海岸城市/雨</w:t>
            </w:r>
          </w:p>
        </w:tc>
        <w:tc>
          <w:tcPr>
            <w:tcW w:w="3175" w:type="dxa"/>
          </w:tcPr>
          <w:p w14:paraId="29AC3C0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夺登陆窗口、压制岸防防空</w:t>
            </w:r>
          </w:p>
        </w:tc>
        <w:tc>
          <w:tcPr>
            <w:tcW w:w="1077" w:type="dxa"/>
          </w:tcPr>
          <w:p w14:paraId="3045BB1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5/3</w:t>
            </w:r>
          </w:p>
        </w:tc>
        <w:tc>
          <w:tcPr>
            <w:tcW w:w="1474" w:type="dxa"/>
          </w:tcPr>
          <w:p w14:paraId="5627C5C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0.74/0.68/0.77</w:t>
            </w:r>
          </w:p>
        </w:tc>
        <w:tc>
          <w:tcPr>
            <w:tcW w:w="850" w:type="dxa"/>
          </w:tcPr>
          <w:p w14:paraId="5466BBE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+5.15</w:t>
            </w:r>
          </w:p>
        </w:tc>
      </w:tr>
      <w:tr w14:paraId="78900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3BC1878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城市防御</w:t>
            </w:r>
          </w:p>
        </w:tc>
        <w:tc>
          <w:tcPr>
            <w:tcW w:w="1020" w:type="dxa"/>
          </w:tcPr>
          <w:p w14:paraId="46E1A4A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defense</w:t>
            </w:r>
          </w:p>
        </w:tc>
        <w:tc>
          <w:tcPr>
            <w:tcW w:w="1361" w:type="dxa"/>
          </w:tcPr>
          <w:p w14:paraId="4E91DE4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城市/雾</w:t>
            </w:r>
          </w:p>
        </w:tc>
        <w:tc>
          <w:tcPr>
            <w:tcW w:w="3175" w:type="dxa"/>
          </w:tcPr>
          <w:p w14:paraId="18CDE42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守交通通信枢纽、抗装甲突击</w:t>
            </w:r>
          </w:p>
        </w:tc>
        <w:tc>
          <w:tcPr>
            <w:tcW w:w="1077" w:type="dxa"/>
          </w:tcPr>
          <w:p w14:paraId="410331B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4/2</w:t>
            </w:r>
          </w:p>
        </w:tc>
        <w:tc>
          <w:tcPr>
            <w:tcW w:w="1474" w:type="dxa"/>
          </w:tcPr>
          <w:p w14:paraId="0542423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0.69/0.54/0.66</w:t>
            </w:r>
          </w:p>
        </w:tc>
        <w:tc>
          <w:tcPr>
            <w:tcW w:w="850" w:type="dxa"/>
          </w:tcPr>
          <w:p w14:paraId="48449BA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+1.04</w:t>
            </w:r>
          </w:p>
        </w:tc>
      </w:tr>
      <w:tr w14:paraId="25E09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215C4CB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山地侦察</w:t>
            </w:r>
          </w:p>
        </w:tc>
        <w:tc>
          <w:tcPr>
            <w:tcW w:w="1020" w:type="dxa"/>
          </w:tcPr>
          <w:p w14:paraId="19E6AD7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recon</w:t>
            </w:r>
          </w:p>
        </w:tc>
        <w:tc>
          <w:tcPr>
            <w:tcW w:w="1361" w:type="dxa"/>
          </w:tcPr>
          <w:p w14:paraId="277C4CF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山地/多云</w:t>
            </w:r>
          </w:p>
        </w:tc>
        <w:tc>
          <w:tcPr>
            <w:tcW w:w="3175" w:type="dxa"/>
          </w:tcPr>
          <w:p w14:paraId="33C419B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低能见度下收集火力与补给线情报</w:t>
            </w:r>
          </w:p>
        </w:tc>
        <w:tc>
          <w:tcPr>
            <w:tcW w:w="1077" w:type="dxa"/>
          </w:tcPr>
          <w:p w14:paraId="182F9DA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3/2</w:t>
            </w:r>
          </w:p>
        </w:tc>
        <w:tc>
          <w:tcPr>
            <w:tcW w:w="1474" w:type="dxa"/>
          </w:tcPr>
          <w:p w14:paraId="1230AE6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0.58/0.46/0.55</w:t>
            </w:r>
          </w:p>
        </w:tc>
        <w:tc>
          <w:tcPr>
            <w:tcW w:w="850" w:type="dxa"/>
          </w:tcPr>
          <w:p w14:paraId="11CB010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+1.86</w:t>
            </w:r>
          </w:p>
        </w:tc>
      </w:tr>
      <w:tr w14:paraId="138A9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561E3EE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渡河突破</w:t>
            </w:r>
          </w:p>
        </w:tc>
        <w:tc>
          <w:tcPr>
            <w:tcW w:w="1020" w:type="dxa"/>
          </w:tcPr>
          <w:p w14:paraId="5C41C78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assault</w:t>
            </w:r>
          </w:p>
        </w:tc>
        <w:tc>
          <w:tcPr>
            <w:tcW w:w="1361" w:type="dxa"/>
          </w:tcPr>
          <w:p w14:paraId="30D0B61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河岸平原/阴</w:t>
            </w:r>
          </w:p>
        </w:tc>
        <w:tc>
          <w:tcPr>
            <w:tcW w:w="3175" w:type="dxa"/>
          </w:tcPr>
          <w:p w14:paraId="004AFF2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开辟渡河窗口、巩固桥头堡</w:t>
            </w:r>
          </w:p>
        </w:tc>
        <w:tc>
          <w:tcPr>
            <w:tcW w:w="1077" w:type="dxa"/>
          </w:tcPr>
          <w:p w14:paraId="45A9C50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4/2</w:t>
            </w:r>
          </w:p>
        </w:tc>
        <w:tc>
          <w:tcPr>
            <w:tcW w:w="1474" w:type="dxa"/>
          </w:tcPr>
          <w:p w14:paraId="1F2A198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0.71/0.57/0.73</w:t>
            </w:r>
          </w:p>
        </w:tc>
        <w:tc>
          <w:tcPr>
            <w:tcW w:w="850" w:type="dxa"/>
          </w:tcPr>
          <w:p w14:paraId="4E64279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+1.25</w:t>
            </w:r>
          </w:p>
        </w:tc>
      </w:tr>
      <w:tr w14:paraId="5D77E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754FCB6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岛屿补给</w:t>
            </w:r>
          </w:p>
        </w:tc>
        <w:tc>
          <w:tcPr>
            <w:tcW w:w="1020" w:type="dxa"/>
          </w:tcPr>
          <w:p w14:paraId="4A77EEF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sustain</w:t>
            </w:r>
          </w:p>
        </w:tc>
        <w:tc>
          <w:tcPr>
            <w:tcW w:w="1361" w:type="dxa"/>
          </w:tcPr>
          <w:p w14:paraId="3FDDB8E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海上岛屿/大风</w:t>
            </w:r>
          </w:p>
        </w:tc>
        <w:tc>
          <w:tcPr>
            <w:tcW w:w="3175" w:type="dxa"/>
          </w:tcPr>
          <w:p w14:paraId="17803BA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袭扰拦阻下保持补给走廊畅通</w:t>
            </w:r>
          </w:p>
        </w:tc>
        <w:tc>
          <w:tcPr>
            <w:tcW w:w="1077" w:type="dxa"/>
          </w:tcPr>
          <w:p w14:paraId="36A6F94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4/2</w:t>
            </w:r>
          </w:p>
        </w:tc>
        <w:tc>
          <w:tcPr>
            <w:tcW w:w="1474" w:type="dxa"/>
          </w:tcPr>
          <w:p w14:paraId="766AC7D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0.63/0.59/0.61</w:t>
            </w:r>
          </w:p>
        </w:tc>
        <w:tc>
          <w:tcPr>
            <w:tcW w:w="850" w:type="dxa"/>
          </w:tcPr>
          <w:p w14:paraId="6A8774E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+2.38</w:t>
            </w:r>
          </w:p>
        </w:tc>
      </w:tr>
    </w:tbl>
    <w:p w14:paraId="66BD37F4">
      <w:pPr>
        <w:spacing w:after="80"/>
      </w:pPr>
      <w:r>
        <w:rPr>
          <w:rFonts w:ascii="Times New Roman" w:hAnsi="Times New Roman" w:eastAsia="楷体"/>
          <w:i/>
          <w:color w:val="606060"/>
          <w:sz w:val="19"/>
        </w:rPr>
        <w:t>ΔMS 为任务成功率增益（Full 相对 Pure LLM），数据来源：论文 Table 7，seed 7、20 次迭代、Full 默认参数；MS=Mission Success 任务成功率。</w:t>
      </w:r>
    </w:p>
    <w:p w14:paraId="5FD35D5F">
      <w:r>
        <w:br w:type="page"/>
      </w:r>
    </w:p>
    <w:p w14:paraId="06ACDBC3">
      <w:pPr>
        <w:spacing w:before="280" w:after="120"/>
      </w:pPr>
      <w:r>
        <w:rPr>
          <w:rFonts w:ascii="Times New Roman" w:hAnsi="Times New Roman" w:eastAsia="黑体"/>
          <w:b/>
          <w:sz w:val="30"/>
        </w:rPr>
        <w:t>第二部分　本课题仿真原理与可靠性论证</w:t>
      </w:r>
    </w:p>
    <w:p w14:paraId="4E9EEB0C">
      <w:pPr>
        <w:spacing w:before="200" w:after="80"/>
      </w:pPr>
      <w:r>
        <w:rPr>
          <w:rFonts w:ascii="Times New Roman" w:hAnsi="Times New Roman" w:eastAsia="黑体"/>
          <w:b/>
          <w:sz w:val="26"/>
        </w:rPr>
        <w:t>一、关键前提：仿真不由大模型执行</w:t>
      </w:r>
    </w:p>
    <w:p w14:paraId="40090AA9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i w:val="0"/>
          <w:sz w:val="22"/>
        </w:rPr>
        <w:t>一个常见误解是“让大模型在脑子里推演战场”。本系统中，大模型（LLM）的角色被严格限定在“方案生成”：它负责把想定输入组织成结构化方案（分阶段、每阶段含动作类型与动作描述）。方案一旦生成，后续评估完全由独立的解析计算仿真器完成（代码 engine.py 中的 PlanSimulator 类），LLM 不参与任何战场推演计算。</w:t>
      </w:r>
    </w:p>
    <w:p w14:paraId="070C8197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i w:val="0"/>
          <w:sz w:val="22"/>
        </w:rPr>
        <w:t>这一点在架构上被刻意隔离：生成层（LLM）→ 评估层（仿真器），两者通过“结构化方案 JSON”衔接，互不耦合。</w:t>
      </w:r>
    </w:p>
    <w:p w14:paraId="53150FB4">
      <w:pPr>
        <w:spacing w:before="200" w:after="80"/>
      </w:pPr>
      <w:r>
        <w:rPr>
          <w:rFonts w:ascii="Times New Roman" w:hAnsi="Times New Roman" w:eastAsia="黑体"/>
          <w:b/>
          <w:sz w:val="26"/>
        </w:rPr>
        <w:t>二、仿真原理：能力加权的五阶段杀伤链解析模型</w:t>
      </w:r>
    </w:p>
    <w:p w14:paraId="7B427F07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i w:val="0"/>
          <w:sz w:val="22"/>
        </w:rPr>
        <w:t>仿真是确定性可计算的解析模型，一次评估分四步完成：</w:t>
      </w:r>
    </w:p>
    <w:p w14:paraId="123FB78C">
      <w:pPr>
        <w:spacing w:before="120" w:after="60"/>
      </w:pPr>
      <w:r>
        <w:rPr>
          <w:rFonts w:ascii="Times New Roman" w:hAnsi="Times New Roman" w:eastAsia="黑体"/>
          <w:b/>
          <w:sz w:val="23"/>
        </w:rPr>
        <w:t>1. 能力聚合</w:t>
      </w:r>
    </w:p>
    <w:p w14:paraId="0B578142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i w:val="0"/>
          <w:sz w:val="22"/>
        </w:rPr>
        <w:t>把我方/敌方每个装备按七维能力（火力 fires、机动 mobility、防护 protection、态势感知 awareness、电子对抗 ew、持续保障 sustainment、指挥控制 c2）加权聚合，得到蓝方、红方两个能力向量；聚合时考虑装备数量（开根号）与战备度（对应代码 _aggregate_capabilities）。</w:t>
      </w:r>
    </w:p>
    <w:p w14:paraId="3947D402">
      <w:pPr>
        <w:spacing w:before="120" w:after="60"/>
      </w:pPr>
      <w:r>
        <w:rPr>
          <w:rFonts w:ascii="Times New Roman" w:hAnsi="Times New Roman" w:eastAsia="黑体"/>
          <w:b/>
          <w:sz w:val="23"/>
        </w:rPr>
        <w:t>2. 方案→需求映射</w:t>
      </w:r>
    </w:p>
    <w:p w14:paraId="79170CFC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i w:val="0"/>
          <w:sz w:val="22"/>
        </w:rPr>
        <w:t>把 LLM 生成的方案动作（侦察、电子对抗、打击、机动等动作类型）映射为该阶段的能力需求权重（对应 _phase_requirements，每种动作类型对应一张能力权重表，如“打击→火力 0.48”）。</w:t>
      </w:r>
    </w:p>
    <w:p w14:paraId="458DDF40">
      <w:pPr>
        <w:spacing w:before="120" w:after="60"/>
      </w:pPr>
      <w:r>
        <w:rPr>
          <w:rFonts w:ascii="Times New Roman" w:hAnsi="Times New Roman" w:eastAsia="黑体"/>
          <w:b/>
          <w:sz w:val="23"/>
        </w:rPr>
        <w:t>3. 五阶段杀伤链评分</w:t>
      </w:r>
    </w:p>
    <w:p w14:paraId="63827CAF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i w:val="0"/>
          <w:sz w:val="22"/>
        </w:rPr>
        <w:t>对侦察发现（detect）、压制打断（disrupt）、突破突击（breach）、夺控稳态（control）、持续保障（sustain）逐阶段计算“蓝方能力×权重 − 红方能力”的差距，经归一化得 0~1 阶段分，并施加地形、天气、平民、电磁环境四项惩罚（对应 _evaluate_kill_chain）。例如探测阶段公式形如：0.45×感知能力×感知权重 + 0.25×指挥能力×指挥权重 + 0.15×电子战能力×电子战权重 − 0.30×敌方感知 − 0.18×敌方电子战。</w:t>
      </w:r>
    </w:p>
    <w:p w14:paraId="7E1C5A43">
      <w:pPr>
        <w:spacing w:before="120" w:after="60"/>
      </w:pPr>
      <w:r>
        <w:rPr>
          <w:rFonts w:ascii="Times New Roman" w:hAnsi="Times New Roman" w:eastAsia="黑体"/>
          <w:b/>
          <w:sz w:val="23"/>
        </w:rPr>
        <w:t>4. 合成指标与蒙特卡洛</w:t>
      </w:r>
    </w:p>
    <w:p w14:paraId="5B2FB756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i w:val="0"/>
          <w:sz w:val="22"/>
        </w:rPr>
        <w:t>阶段成功率 = 各阶段分×阶段权重；损失、时长、交换比（LER）、综合效能（OE）均由解析公式得出。蒙特卡洛=对阶段分和效能加 ±3%~5% 的显式受控伪随机扰动（对应代码 rng.uniform(0.97, 1.03)），重复 50 次取均值/置信区间——随机性完全在仿真器内可控，与 LLM 无关。</w:t>
      </w:r>
    </w:p>
    <w:p w14:paraId="6912C7E3">
      <w:pPr>
        <w:spacing w:after="80" w:line="360" w:lineRule="auto"/>
        <w:ind w:firstLine="440"/>
      </w:pPr>
      <w:r>
        <w:rPr>
          <w:rFonts w:ascii="Times New Roman" w:hAnsi="Times New Roman" w:eastAsia="宋体"/>
          <w:b/>
          <w:i w:val="0"/>
          <w:sz w:val="22"/>
        </w:rPr>
        <w:t>一句话概括：这是“能力-需求匹配”的量化推演——方案好不好，取决于它把可用能力对到战场需求上的匹配程度，而不是大模型的“想象”。</w:t>
      </w:r>
    </w:p>
    <w:p w14:paraId="76949BF3">
      <w:pPr>
        <w:spacing w:before="200" w:after="80"/>
      </w:pPr>
      <w:r>
        <w:rPr>
          <w:rFonts w:ascii="Times New Roman" w:hAnsi="Times New Roman" w:eastAsia="黑体"/>
          <w:b/>
          <w:sz w:val="26"/>
        </w:rPr>
        <w:t>三、与 AFSIM 等三维仿真软件的关系：互补的两层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742"/>
        <w:gridCol w:w="3742"/>
      </w:tblGrid>
      <w:tr w14:paraId="502E5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2F3"/>
          </w:tcPr>
          <w:p w14:paraId="598D743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维度</w:t>
            </w:r>
          </w:p>
        </w:tc>
        <w:tc>
          <w:tcPr>
            <w:tcW w:w="3742" w:type="dxa"/>
            <w:shd w:val="clear" w:color="auto" w:fill="D9E2F3"/>
          </w:tcPr>
          <w:p w14:paraId="5DFC9B6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本系统（解析仿真）</w:t>
            </w:r>
          </w:p>
        </w:tc>
        <w:tc>
          <w:tcPr>
            <w:tcW w:w="3742" w:type="dxa"/>
            <w:shd w:val="clear" w:color="auto" w:fill="D9E2F3"/>
          </w:tcPr>
          <w:p w14:paraId="75AF3FA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AFSIM（三维实体仿真）</w:t>
            </w:r>
          </w:p>
        </w:tc>
      </w:tr>
      <w:tr w14:paraId="05C11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ECB499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建模粒度</w:t>
            </w:r>
          </w:p>
        </w:tc>
        <w:tc>
          <w:tcPr>
            <w:tcW w:w="3742" w:type="dxa"/>
          </w:tcPr>
          <w:p w14:paraId="09C443E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能力级（七维能力向量）</w:t>
            </w:r>
          </w:p>
        </w:tc>
        <w:tc>
          <w:tcPr>
            <w:tcW w:w="3742" w:type="dxa"/>
          </w:tcPr>
          <w:p w14:paraId="4ACDCE8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实体级（逐装备弹道/电磁/运动学建模）</w:t>
            </w:r>
          </w:p>
        </w:tc>
      </w:tr>
      <w:tr w14:paraId="5D3B6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AE8E79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单次仿真成本</w:t>
            </w:r>
          </w:p>
        </w:tc>
        <w:tc>
          <w:tcPr>
            <w:tcW w:w="3742" w:type="dxa"/>
          </w:tcPr>
          <w:p w14:paraId="605B093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毫秒级；50 次蒙特卡洛秒级</w:t>
            </w:r>
          </w:p>
        </w:tc>
        <w:tc>
          <w:tcPr>
            <w:tcW w:w="3742" w:type="dxa"/>
          </w:tcPr>
          <w:p w14:paraId="60D2A69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分钟~小时级</w:t>
            </w:r>
          </w:p>
        </w:tc>
      </w:tr>
      <w:tr w14:paraId="5AD3F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06C69B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可解释性</w:t>
            </w:r>
          </w:p>
        </w:tc>
        <w:tc>
          <w:tcPr>
            <w:tcW w:w="3742" w:type="dxa"/>
          </w:tcPr>
          <w:p w14:paraId="281B516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每项得分可分解到“能力×权重×需求”与惩罚项，全链路可追溯</w:t>
            </w:r>
          </w:p>
        </w:tc>
        <w:tc>
          <w:tcPr>
            <w:tcW w:w="3742" w:type="dxa"/>
          </w:tcPr>
          <w:p w14:paraId="0A90999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高保真但“黑箱”，结果难以逐项归因</w:t>
            </w:r>
          </w:p>
        </w:tc>
      </w:tr>
      <w:tr w14:paraId="0C660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F88204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用途</w:t>
            </w:r>
          </w:p>
        </w:tc>
        <w:tc>
          <w:tcPr>
            <w:tcW w:w="3742" w:type="dxa"/>
          </w:tcPr>
          <w:p w14:paraId="0945E22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方案空间快速筛选 + 迭代优化（10-20 轮）</w:t>
            </w:r>
          </w:p>
        </w:tc>
        <w:tc>
          <w:tcPr>
            <w:tcW w:w="3742" w:type="dxa"/>
          </w:tcPr>
          <w:p w14:paraId="618CB78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选定方案高保真验证</w:t>
            </w:r>
          </w:p>
        </w:tc>
      </w:tr>
      <w:tr w14:paraId="336C6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97B32F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  <w:t>随机性</w:t>
            </w:r>
          </w:p>
        </w:tc>
        <w:tc>
          <w:tcPr>
            <w:tcW w:w="3742" w:type="dxa"/>
          </w:tcPr>
          <w:p w14:paraId="0990ED6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受控 ±3-5% 扰动</w:t>
            </w:r>
          </w:p>
        </w:tc>
        <w:tc>
          <w:tcPr>
            <w:tcW w:w="3742" w:type="dxa"/>
          </w:tcPr>
          <w:p w14:paraId="39311B4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物理随机过程</w:t>
            </w:r>
          </w:p>
        </w:tc>
      </w:tr>
    </w:tbl>
    <w:p w14:paraId="3E3A70A5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i w:val="0"/>
          <w:sz w:val="22"/>
        </w:rPr>
        <w:t>定位：本系统的仿真不是要替代 AFSIM，而是承担“方案搜索与优化的引擎”角色——AFSIM 单次跑数分钟，无法支撑 20 轮迭代 × 多候选的搜索空间；解析仿真把这一层成本降了几个数量级。两者是流水线关系：解析仿真快速筛选出有希望的方案→ 高保真仿真对候选方案做最终验证。这也是论文未来工作中“接入实体级兵棋与外部仿真平台对标”的本意。</w:t>
      </w:r>
    </w:p>
    <w:p w14:paraId="623350D3">
      <w:pPr>
        <w:spacing w:before="200" w:after="80"/>
      </w:pPr>
      <w:r>
        <w:rPr>
          <w:rFonts w:ascii="Times New Roman" w:hAnsi="Times New Roman" w:eastAsia="黑体"/>
          <w:b/>
          <w:sz w:val="26"/>
        </w:rPr>
        <w:t>四、可靠性的四条论证</w:t>
      </w:r>
    </w:p>
    <w:p w14:paraId="55F4EB13">
      <w:pPr>
        <w:spacing w:before="120" w:after="60"/>
      </w:pPr>
      <w:r>
        <w:rPr>
          <w:rFonts w:ascii="Times New Roman" w:hAnsi="Times New Roman" w:eastAsia="黑体"/>
          <w:b/>
          <w:sz w:val="23"/>
        </w:rPr>
        <w:t>1. 可解释、可追溯</w:t>
      </w:r>
    </w:p>
    <w:p w14:paraId="0BDCF086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i w:val="0"/>
          <w:sz w:val="22"/>
        </w:rPr>
        <w:t>每个数字都可拆解：阶段分由哪几项能力×权重构成、哪些惩罚项生效、第几轮迭代改变的哪个参数，全部有据可查（full_result.json 记录每次仿真的阶段明细）。评审可以逐项验算，这是解析模型相对黑箱模型的天然优势。</w:t>
      </w:r>
    </w:p>
    <w:p w14:paraId="685B6496">
      <w:pPr>
        <w:spacing w:before="120" w:after="60"/>
      </w:pPr>
      <w:r>
        <w:rPr>
          <w:rFonts w:ascii="Times New Roman" w:hAnsi="Times New Roman" w:eastAsia="黑体"/>
          <w:b/>
          <w:sz w:val="23"/>
        </w:rPr>
        <w:t>2. 受控随机、可复现</w:t>
      </w:r>
    </w:p>
    <w:p w14:paraId="05F9800C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i w:val="0"/>
          <w:sz w:val="22"/>
        </w:rPr>
        <w:t>蒙特卡洛扰动幅度明确（±3-5%）、随机种子固定（seed 可复现）、50 次聚合给出置信区间。同一方案重跑结果一致（误差带内），不是“每次都不一样”。</w:t>
      </w:r>
    </w:p>
    <w:p w14:paraId="2C8BAF63">
      <w:pPr>
        <w:spacing w:before="120" w:after="60"/>
      </w:pPr>
      <w:r>
        <w:rPr>
          <w:rFonts w:ascii="Times New Roman" w:hAnsi="Times New Roman" w:eastAsia="黑体"/>
          <w:b/>
          <w:sz w:val="23"/>
        </w:rPr>
        <w:t>3. 统计稳健性证据链</w:t>
      </w:r>
    </w:p>
    <w:p w14:paraId="200F0B98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i w:val="0"/>
          <w:sz w:val="22"/>
        </w:rPr>
        <w:t>多种子复现（5 个种子全为正增益、配对 t 检验 p&lt;0.01）、三个不同大模型后端一致增益、外部基线对照、跨场景 5/5 全胜——如果仿真不可靠，不可能在所有对照中呈现一致的方向性结论。</w:t>
      </w:r>
    </w:p>
    <w:p w14:paraId="12B6CED5">
      <w:pPr>
        <w:spacing w:before="120" w:after="60"/>
      </w:pPr>
      <w:r>
        <w:rPr>
          <w:rFonts w:ascii="Times New Roman" w:hAnsi="Times New Roman" w:eastAsia="黑体"/>
          <w:b/>
          <w:sz w:val="23"/>
        </w:rPr>
        <w:t>4. 诚实声明边界</w:t>
      </w:r>
    </w:p>
    <w:p w14:paraId="241D58B9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i w:val="0"/>
          <w:sz w:val="22"/>
        </w:rPr>
        <w:t>论文明确把“仿真未对标外部兵棋平台”列为效度威胁（threats to validity），并声明当前置信区间只反映种内蒙特卡洛方差。主动说清边界，并指出这正是下一步“接入实体级兵棋/平台对标”的动机，形成逻辑闭环。</w:t>
      </w:r>
    </w:p>
    <w:p w14:paraId="4A0F59B3">
      <w:pPr>
        <w:spacing w:before="200" w:after="80"/>
      </w:pPr>
      <w:r>
        <w:rPr>
          <w:rFonts w:ascii="Times New Roman" w:hAnsi="Times New Roman" w:eastAsia="黑体"/>
          <w:b/>
          <w:sz w:val="26"/>
        </w:rPr>
        <w:t>五、一句话总结</w:t>
      </w:r>
    </w:p>
    <w:p w14:paraId="5D46BAFD">
      <w:pPr>
        <w:spacing w:after="80" w:line="360" w:lineRule="auto"/>
        <w:ind w:firstLine="440"/>
      </w:pPr>
      <w:r>
        <w:rPr>
          <w:rFonts w:ascii="Times New Roman" w:hAnsi="Times New Roman" w:eastAsia="宋体"/>
          <w:b/>
          <w:i w:val="0"/>
          <w:sz w:val="22"/>
        </w:rPr>
        <w:t>“本系统的仿真不是‘大模型推演’，而是一个能力加权的解析计算模型：LLM 只负责把想定写成结构化方案，仿真器把方案映射成能力需求后做确定性的五阶段杀伤链计算，再用受控蒙特卡洛给出统计量。它的可靠性来自可解释、可复现、可验算，以及多种子/多模型/跨场景的一致证据；它和 AFSIM 不是竞争关系，而是‘快速迭代筛选 + 高保真验证’的分层流水线。”</w:t>
      </w:r>
    </w:p>
    <w:p w14:paraId="43209FF5">
      <w:pPr>
        <w:spacing w:after="80"/>
      </w:pPr>
      <w:r>
        <w:rPr>
          <w:rFonts w:ascii="Times New Roman" w:hAnsi="Times New Roman" w:eastAsia="楷体"/>
          <w:i/>
          <w:color w:val="606060"/>
          <w:sz w:val="19"/>
        </w:rPr>
        <w:t>本文档内容基于代码（military_research_backup/engine.py）与论文（main_blinded.pdf）、用户指导手册 v4.0 整理。</w:t>
      </w:r>
    </w:p>
    <w:p w14:paraId="2E9F98E1">
      <w:r>
        <w:br w:type="page"/>
      </w:r>
    </w:p>
    <w:p w14:paraId="3AFEC09B">
      <w:pPr>
        <w:spacing w:before="280" w:after="120"/>
      </w:pPr>
      <w:r>
        <w:rPr>
          <w:rFonts w:ascii="Times New Roman" w:hAnsi="Times New Roman" w:eastAsia="黑体"/>
          <w:b/>
          <w:sz w:val="30"/>
        </w:rPr>
        <w:t>第三部分　多种子实验的实验原理与实验目的</w:t>
      </w:r>
    </w:p>
    <w:p w14:paraId="45EF457F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论文主消融实验固定随机种子 seed=7。为排除“单一随机轨迹下的偶然结果”，设计了多种子复现实验：固定其他全部条件，仅改变随机种子，重复整套实验，观察增益的分布并做统计检验。本部分解释多种子实验“为什么这样设计（原理）”与“要回答什么问题（目的）”。</w:t>
      </w:r>
    </w:p>
    <w:p w14:paraId="7F6CEC36">
      <w:pPr>
        <w:spacing w:before="200" w:after="80"/>
      </w:pPr>
      <w:r>
        <w:rPr>
          <w:rFonts w:ascii="Times New Roman" w:hAnsi="Times New Roman" w:eastAsia="黑体"/>
          <w:b/>
          <w:sz w:val="26"/>
        </w:rPr>
        <w:t>一、实验原理</w:t>
      </w:r>
    </w:p>
    <w:p w14:paraId="2E652D39">
      <w:pPr>
        <w:spacing w:before="120" w:after="60"/>
      </w:pPr>
      <w:r>
        <w:rPr>
          <w:rFonts w:ascii="Times New Roman" w:hAnsi="Times New Roman" w:eastAsia="黑体"/>
          <w:b/>
          <w:sz w:val="23"/>
        </w:rPr>
        <w:t>1. 随机种子在本系统中的两个作用</w:t>
      </w:r>
    </w:p>
    <w:p w14:paraId="4FC06FBF">
      <w:pPr>
        <w:spacing w:after="40" w:line="360" w:lineRule="auto"/>
        <w:ind w:left="440" w:hanging="220"/>
      </w:pPr>
      <w:r>
        <w:rPr>
          <w:rFonts w:ascii="Times New Roman" w:hAnsi="Times New Roman" w:eastAsia="宋体"/>
          <w:sz w:val="22"/>
        </w:rPr>
        <w:t>▪ 控制大模型（LLM）采样的随机性：temperature 采样使每次生成的方案存在随机差异，种子决定了这条“生成轨迹”；</w:t>
      </w:r>
    </w:p>
    <w:p w14:paraId="4A84731C">
      <w:pPr>
        <w:spacing w:after="40" w:line="360" w:lineRule="auto"/>
        <w:ind w:left="440" w:hanging="220"/>
      </w:pPr>
      <w:r>
        <w:rPr>
          <w:rFonts w:ascii="Times New Roman" w:hAnsi="Times New Roman" w:eastAsia="宋体"/>
          <w:sz w:val="22"/>
        </w:rPr>
        <w:t>▪ 控制蒙特卡洛（MC）仿真的随机扰动序列：仿真器对阶段分与效能施加 ±3%~5% 的显式伪随机扰动，种子决定了扰动序列。</w:t>
      </w:r>
    </w:p>
    <w:p w14:paraId="6C7A0224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因此，同一种子下从“方案生成→仿真评估”的整条管线完全可复现；不同种子代表“重新开始的一整轮独立实验轨迹”，而不是简单换一组仿真噪声。</w:t>
      </w:r>
    </w:p>
    <w:p w14:paraId="041578E7">
      <w:pPr>
        <w:spacing w:before="120" w:after="60"/>
      </w:pPr>
      <w:r>
        <w:rPr>
          <w:rFonts w:ascii="Times New Roman" w:hAnsi="Times New Roman" w:eastAsia="黑体"/>
          <w:b/>
          <w:sz w:val="23"/>
        </w:rPr>
        <w:t>2. 多种子＝对随机轨迹变量做重复采样</w:t>
      </w:r>
    </w:p>
    <w:p w14:paraId="3FC94C67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实验固定想定、迭代次数（10）、蒙特卡洛次数（50）、案例库与回写开关，仅改变种子 {7, 42, 123, 999, 2024}（共 5 个），得到“Full 相对 Pure LLM 的增益”这一随机量的分布（均值 ± 标准差）。增益为正说明 Full 优于 Pure，标准差体现增益在不同初始轨迹下的稳定程度。</w:t>
      </w:r>
    </w:p>
    <w:p w14:paraId="657FC5A2">
      <w:pPr>
        <w:spacing w:before="120" w:after="60"/>
      </w:pPr>
      <w:r>
        <w:rPr>
          <w:rFonts w:ascii="Times New Roman" w:hAnsi="Times New Roman" w:eastAsia="黑体"/>
          <w:b/>
          <w:sz w:val="23"/>
        </w:rPr>
        <w:t>3. 配对设计与统计检验</w:t>
      </w:r>
    </w:p>
    <w:p w14:paraId="387B9A2D">
      <w:pPr>
        <w:spacing w:after="40" w:line="360" w:lineRule="auto"/>
        <w:ind w:left="440" w:hanging="220"/>
      </w:pPr>
      <w:r>
        <w:rPr>
          <w:rFonts w:ascii="Times New Roman" w:hAnsi="Times New Roman" w:eastAsia="宋体"/>
          <w:sz w:val="22"/>
        </w:rPr>
        <w:t>▪ 配对设计：同一种子下比较 Full 与 Pure（成对数据），消除不同种子间的系统差异（如某种子整体偏难/偏易）；</w:t>
      </w:r>
    </w:p>
    <w:p w14:paraId="085AD4A6">
      <w:pPr>
        <w:spacing w:after="40" w:line="360" w:lineRule="auto"/>
        <w:ind w:left="440" w:hanging="220"/>
      </w:pPr>
      <w:r>
        <w:rPr>
          <w:rFonts w:ascii="Times New Roman" w:hAnsi="Times New Roman" w:eastAsia="宋体"/>
          <w:sz w:val="22"/>
        </w:rPr>
        <w:t>▪ 配对 t 检验（paired t-test）：检验“增益均值是否显著非零”，自由度 4（5 个种子 − 1），p&lt;0.01 表示“增益为零”这一假设的偶然概率小于 1%；</w:t>
      </w:r>
    </w:p>
    <w:p w14:paraId="193479A5">
      <w:pPr>
        <w:spacing w:after="40" w:line="360" w:lineRule="auto"/>
        <w:ind w:left="440" w:hanging="220"/>
      </w:pPr>
      <w:r>
        <w:rPr>
          <w:rFonts w:ascii="Times New Roman" w:hAnsi="Times New Roman" w:eastAsia="宋体"/>
          <w:sz w:val="22"/>
        </w:rPr>
        <w:t>▪ 效应量 Cohen's d：度量增益幅度大小，d≥0.8 为大效应，本实验 d=2.50 属极大效应——不仅“统计显著”，而且“幅度可观”。</w:t>
      </w:r>
    </w:p>
    <w:p w14:paraId="4AB42DA9">
      <w:pPr>
        <w:spacing w:before="120" w:after="60"/>
      </w:pPr>
      <w:r>
        <w:rPr>
          <w:rFonts w:ascii="Times New Roman" w:hAnsi="Times New Roman" w:eastAsia="黑体"/>
          <w:b/>
          <w:sz w:val="23"/>
        </w:rPr>
        <w:t>4. 补充实验：优化参数下的多种子复跑</w:t>
      </w:r>
    </w:p>
    <w:p w14:paraId="65CDECEF">
      <w:pPr>
        <w:spacing w:after="80" w:line="36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由于默认参数（θ=0.5, ε=0.02）经敏感性分析位于 U 形曲线谷底，另在优化参数（θ=0.9, ε=0.005）下用 {7, 42, 123} 三个种子复跑 Full 管线；Pure 基线不依赖 HOPE 参数，可直接复用，无需重跑。</w:t>
      </w:r>
    </w:p>
    <w:p w14:paraId="4E819D86">
      <w:pPr>
        <w:spacing w:before="200" w:after="80"/>
      </w:pPr>
      <w:r>
        <w:rPr>
          <w:rFonts w:ascii="Times New Roman" w:hAnsi="Times New Roman" w:eastAsia="黑体"/>
          <w:b/>
          <w:sz w:val="26"/>
        </w:rPr>
        <w:t>二、实验目的</w:t>
      </w:r>
    </w:p>
    <w:p w14:paraId="0B7FE524">
      <w:pPr>
        <w:spacing w:after="40" w:line="360" w:lineRule="auto"/>
        <w:ind w:left="440" w:hanging="220"/>
      </w:pPr>
      <w:r>
        <w:rPr>
          <w:rFonts w:ascii="Times New Roman" w:hAnsi="Times New Roman" w:eastAsia="宋体"/>
          <w:sz w:val="22"/>
        </w:rPr>
        <w:t>▪ 验证稳健性：增益是否在所有种子下一致为正——排除“这个种子恰好幸运”的偶然解释；</w:t>
      </w:r>
    </w:p>
    <w:p w14:paraId="69C01B6C">
      <w:pPr>
        <w:spacing w:after="40" w:line="360" w:lineRule="auto"/>
        <w:ind w:left="440" w:hanging="220"/>
      </w:pPr>
      <w:r>
        <w:rPr>
          <w:rFonts w:ascii="Times New Roman" w:hAnsi="Times New Roman" w:eastAsia="宋体"/>
          <w:sz w:val="22"/>
        </w:rPr>
        <w:t>▪ 量化变异性：报告增益的均值与标准差，让结论有“置信范围”而非孤点；</w:t>
      </w:r>
    </w:p>
    <w:p w14:paraId="7487D754">
      <w:pPr>
        <w:spacing w:after="40" w:line="360" w:lineRule="auto"/>
        <w:ind w:left="440" w:hanging="220"/>
      </w:pPr>
      <w:r>
        <w:rPr>
          <w:rFonts w:ascii="Times New Roman" w:hAnsi="Times New Roman" w:eastAsia="宋体"/>
          <w:sz w:val="22"/>
        </w:rPr>
        <w:t>▪ 统计显著性：以 p 值排除“增益为零”的假设，以 Cohen's d 说明幅度，二者共同支撑“增益真实存在且明显”；</w:t>
      </w:r>
    </w:p>
    <w:p w14:paraId="7D92073F">
      <w:pPr>
        <w:spacing w:after="40" w:line="360" w:lineRule="auto"/>
        <w:ind w:left="440" w:hanging="220"/>
      </w:pPr>
      <w:r>
        <w:rPr>
          <w:rFonts w:ascii="Times New Roman" w:hAnsi="Times New Roman" w:eastAsia="宋体"/>
          <w:sz w:val="22"/>
        </w:rPr>
        <w:t>▪ 与种内置信区间区分：单种子 50 次蒙特卡洛的 95% 置信区间只反映种内随机性，跨种子波动约为其 5 倍——多种子复现才是对“实验可重复性”更严格的检验，也是论文明确声明的证据边界。</w:t>
      </w:r>
    </w:p>
    <w:p w14:paraId="76100FA7">
      <w:pPr>
        <w:spacing w:before="200" w:after="80"/>
      </w:pPr>
      <w:r>
        <w:rPr>
          <w:rFonts w:ascii="Times New Roman" w:hAnsi="Times New Roman" w:eastAsia="黑体"/>
          <w:b/>
          <w:sz w:val="26"/>
        </w:rPr>
        <w:t>三、主要结果</w:t>
      </w:r>
    </w:p>
    <w:p w14:paraId="56426A6E">
      <w:pPr>
        <w:spacing w:after="40" w:line="360" w:lineRule="auto"/>
        <w:ind w:left="440" w:hanging="220"/>
      </w:pPr>
      <w:r>
        <w:rPr>
          <w:rFonts w:ascii="Times New Roman" w:hAnsi="Times New Roman" w:eastAsia="宋体"/>
          <w:sz w:val="22"/>
        </w:rPr>
        <w:t>▪ 默认参数（5 种子）：平均 ΔMS = +4.14（SD 1.66），配对 t(4)=5.593，p&lt;0.01，Cohen's d=2.50；ΔOE 的 t(4)=7.414；5/5 种子增益为正；</w:t>
      </w:r>
    </w:p>
    <w:p w14:paraId="7A91FF14">
      <w:pPr>
        <w:spacing w:after="40" w:line="360" w:lineRule="auto"/>
        <w:ind w:left="440" w:hanging="220"/>
      </w:pPr>
      <w:r>
        <w:rPr>
          <w:rFonts w:ascii="Times New Roman" w:hAnsi="Times New Roman" w:eastAsia="宋体"/>
          <w:sz w:val="22"/>
        </w:rPr>
        <w:t>▪ 优化参数（3 种子）：平均 ΔMS = +5.62（SD 2.41），t(4)=5.21，p&lt;0.01，5/5（3/3）种子增益为正；</w:t>
      </w:r>
    </w:p>
    <w:p w14:paraId="740D0EB3">
      <w:pPr>
        <w:spacing w:after="40" w:line="360" w:lineRule="auto"/>
        <w:ind w:left="440" w:hanging="220"/>
      </w:pPr>
      <w:r>
        <w:rPr>
          <w:rFonts w:ascii="Times New Roman" w:hAnsi="Times New Roman" w:eastAsia="宋体"/>
          <w:sz w:val="22"/>
        </w:rPr>
        <w:t>▪ 结论：Full 相对 Pure LLM 的增益在多个独立随机轨迹下方向一致、幅度稳定、统计显著。</w:t>
      </w:r>
    </w:p>
    <w:p w14:paraId="30510F6B">
      <w:pPr>
        <w:spacing w:after="80"/>
      </w:pPr>
      <w:r>
        <w:rPr>
          <w:rFonts w:ascii="Times New Roman" w:hAnsi="Times New Roman" w:eastAsia="楷体"/>
          <w:i/>
          <w:color w:val="606060"/>
          <w:sz w:val="19"/>
        </w:rPr>
        <w:t>ΔMS = 任务成功率（Mission Success）增益；SD = 标准差；t(4) = 自由度 4 的 t 统计量；p = 显著性概率；Cohen's d = 效应量。数据来源：论文多种子复现实验（Table 12/13）。</w:t>
      </w:r>
    </w:p>
    <w:p w14:paraId="0A896335">
      <w:pPr>
        <w:spacing w:before="200" w:after="80"/>
      </w:pPr>
      <w:r>
        <w:rPr>
          <w:rFonts w:ascii="Times New Roman" w:hAnsi="Times New Roman" w:eastAsia="黑体"/>
          <w:b/>
          <w:sz w:val="26"/>
        </w:rPr>
        <w:t>四、一句话总结</w:t>
      </w:r>
    </w:p>
    <w:p w14:paraId="46E9D24B">
      <w:pPr>
        <w:spacing w:after="80" w:line="360" w:lineRule="auto"/>
        <w:ind w:firstLine="440"/>
      </w:pPr>
      <w:r>
        <w:rPr>
          <w:rFonts w:ascii="Times New Roman" w:hAnsi="Times New Roman" w:eastAsia="宋体"/>
          <w:b/>
          <w:sz w:val="22"/>
        </w:rPr>
        <w:t>多种子实验回答的是“结果是不是碰运气”——答案是否定的：5 个独立随机轨迹下，完整管线的增益全部为正、统计显著（p&lt;0.01）且幅度极大（d=2.50），证明增益是机制性的、可复现的，而非单一种子下的偶然。</w:t>
      </w:r>
    </w:p>
    <w:sectPr>
      <w:pgSz w:w="12240" w:h="15840"/>
      <w:pgMar w:top="1440" w:right="1587" w:bottom="1440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4E7526"/>
    <w:rsid w:val="38204805"/>
    <w:rsid w:val="608F0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5461</Words>
  <Characters>6832</Characters>
  <Lines>0</Lines>
  <Paragraphs>0</Paragraphs>
  <TotalTime>735</TotalTime>
  <ScaleCrop>false</ScaleCrop>
  <LinksUpToDate>false</LinksUpToDate>
  <CharactersWithSpaces>7168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Slamdunk&amp;樱木</cp:lastModifiedBy>
  <dcterms:modified xsi:type="dcterms:W3CDTF">2026-08-11T01:12:35Z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eyJoZGlkIjoiYjUxZTQzMzM0MzAzMTRjM2Y2MTQ0Njg3MjE2NDFkZGUiLCJ1c2VySWQiOiIxMDM0ODA1NTE0In0=</vt:lpwstr>
  </property>
  <property fmtid="{D5CDD505-2E9C-101B-9397-08002B2CF9AE}" pid="3" name="KSOProductBuildVer">
    <vt:lpwstr>2052-12.1.0.28043</vt:lpwstr>
  </property>
  <property fmtid="{D5CDD505-2E9C-101B-9397-08002B2CF9AE}" pid="4" name="ICV">
    <vt:lpwstr>E9A5152E92184326B35EEA97E8B38224_12</vt:lpwstr>
  </property>
</Properties>
</file>