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ANALYSIS, CONCLUSIONS &amp; RECOMMENDATIONS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Average Marks by Course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The analysis of average marks by course reveals a significant variation in academic performance across subjects. Courses such as Cost Accounting show considerably lower averages, while others like Introduction to Business Law and American Literature achieve notably higher performance levels. This difference indicates that the perceived decline in grades is not a general phenomenon, but rather concentrated in specific courses. Factors such as course difficulty, teaching methodologies, and assessment design are likely influencing student performance in these subjects.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Distribution of Marks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The distribution of marks shows that most students fall within intermediate ranges, particularly between 70 and 90 points, indicating generally acceptable academic performance. However, the presence of lower scores highlights a group of students experiencing academic difficulties. This pattern suggests that, while the system as a whole is stable, there exists a performance gap among students. Therefore, the institutional perception of declining grades may be influenced by these lower-performing cases, even if they do not represent the majority.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Attendance vs Academic Performance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The relationship between days of absence and academic performance shows an inverse trend. Students with fewer absences tend to achieve higher marks, while those with higher absenteeism display greater variability, including lower scores. Although the relationship is not perfectly linear, it is sufficiently clear to conclude that attendance plays a crucial role in academic success. This finding suggests that active participation in academic activities directly impacts students' understanding and performance.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Low Performance by Course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The analysis of courses with a higher number of students scoring below 70 identifies critical areas within the institution. Subjects such as Cost Accounting, General Biology, Data Structures, and OOAD show a higher concentration of low-performing students. This reinforces the idea that academic difficulties are concentrated in specific courses. This insight is particularly valuable, as it allows for targeted interventions in areas where they will have the greatest impact, including reviewing course content, teaching methods, and evaluation criteria.</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Overall, the analysis indicates that the perceived decline in academic performance is not a widespread issue but rather the result of specific situations affecting certain courses and groups of students. Performance is mainly influenced by course difficulty, attendance, and the presence of a subset of underperforming students. Consequently, the problem should be addressed through targeted interventions, focusing on critical areas and reinforcing factors that positively impact academic outcomes.</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Based on these findings, it is recommended to implement targeted interventions in challenging courses, including academic tutoring and reviewing teaching methodologies. Strengthening attendance policies is also essential, given their direct impact on performance, through monitoring systems and early warning mechanisms. Additionally, support programs for at-risk students should be developed to reduce the identified performance gap. Finally, continuous monitoring systems should be established to track academic performance trends and support data-driven decision-making.</w:t>
      </w:r>
    </w:p>
    <w:p w:rsidR="00000000" w:rsidDel="00000000" w:rsidP="00000000" w:rsidRDefault="00000000" w:rsidRPr="00000000" w14:paraId="00000016">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