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b/>
          <w:bCs/>
          <w:color w:val="1F3864"/>
          <w:sz w:val="48"/>
          <w:szCs w:val="48"/>
        </w:rPr>
        <w:t xml:space="preserve">WORKSHOP — PUNTO 3</w:t>
      </w:r>
    </w:p>
    <w:p>
      <w:pPr>
        <w:spacing w:before="80" w:after="80"/>
        <w:jc w:val="center"/>
      </w:pPr>
      <w:r>
        <w:rPr>
          <w:color w:val="2D6A9F"/>
          <w:sz w:val="32"/>
          <w:szCs w:val="32"/>
        </w:rPr>
        <w:t xml:space="preserve">Academic Season Preparation Analysis</w:t>
      </w:r>
    </w:p>
    <w:p>
      <w:pPr>
        <w:spacing w:before="80" w:after="80"/>
        <w:jc w:val="center"/>
      </w:pPr>
      <w:r>
        <w:rPr>
          <w:color w:val="888888"/>
          <w:sz w:val="24"/>
          <w:szCs w:val="24"/>
        </w:rPr>
        <w:t xml:space="preserve">Academic Database (AD) — Oracle Live SQL</w:t>
      </w:r>
    </w:p>
    <w:p>
      <w:pPr>
        <w:spacing w:before="100" w:after="100"/>
      </w:pPr>
      <w:r>
        <w:t xml:space="preserve"/>
      </w:r>
    </w:p>
    <w:p>
      <w:pPr>
        <w:spacing w:before="100" w:after="100"/>
      </w:pPr>
      <w:r>
        <w:t xml:space="preserve"/>
      </w:r>
    </w:p>
    <w:p>
      <w:pPr>
        <w:jc w:val="center"/>
      </w:pPr>
      <w:r>
        <w:rPr>
          <w:color w:val="AAAAAA"/>
          <w:sz w:val="22"/>
          <w:szCs w:val="22"/>
        </w:rPr>
        <w:t xml:space="preserve">Universidad  •  2026</w:t>
      </w:r>
    </w:p>
    <w:p>
      <w:r>
        <w:br w:type="page"/>
      </w:r>
    </w:p>
    <w:p>
      <w:pPr>
        <w:pStyle w:val="Heading1"/>
      </w:pPr>
      <w:r>
        <w:rPr>
          <w:b/>
          <w:bCs/>
          <w:color w:val="1F3864"/>
          <w:sz w:val="32"/>
          <w:szCs w:val="32"/>
        </w:rPr>
        <w:t xml:space="preserve">1. Introduction</w:t>
      </w:r>
    </w:p>
    <w:p>
      <w:pPr>
        <w:pBdr>
          <w:bottom w:val="single" w:color="2D6A9F" w:sz="4" w:space="1"/>
        </w:pBdr>
        <w:spacing w:before="160" w:after="160"/>
      </w:pPr>
      <w:r>
        <w:t xml:space="preserve"/>
      </w:r>
    </w:p>
    <w:p>
      <w:pPr>
        <w:spacing w:before="80" w:after="80"/>
      </w:pPr>
      <w:r>
        <w:rPr>
          <w:color w:val="444444"/>
          <w:sz w:val="22"/>
          <w:szCs w:val="22"/>
        </w:rPr>
        <w:t xml:space="preserve">The academic season is approaching and the university administration requires a comprehensive review of previous academic years. This document presents the analysis of data from the Academic (AD) database, covering academic sessions, course information, department structure, and faculty details.</w:t>
      </w:r>
    </w:p>
    <w:p>
      <w:pPr>
        <w:spacing w:before="100" w:after="100"/>
      </w:pPr>
      <w:r>
        <w:t xml:space="preserve"/>
      </w:r>
    </w:p>
    <w:p>
      <w:pPr>
        <w:spacing w:before="80" w:after="80"/>
      </w:pPr>
      <w:r>
        <w:rPr>
          <w:color w:val="444444"/>
          <w:sz w:val="22"/>
          <w:szCs w:val="22"/>
        </w:rPr>
        <w:t xml:space="preserve">The administrators specifically requested:</w:t>
      </w:r>
    </w:p>
    <w:p>
      <w:pPr>
        <w:pStyle w:val="ListParagraph"/>
        <w:numPr>
          <w:ilvl w:val="0"/>
          <w:numId w:val="2"/>
        </w:numPr>
      </w:pPr>
      <w:r>
        <w:rPr>
          <w:color w:val="444444"/>
          <w:sz w:val="22"/>
          <w:szCs w:val="22"/>
        </w:rPr>
        <w:t xml:space="preserve">All data consolidated in a single table (FULL OUTER JOIN)</w:t>
      </w:r>
    </w:p>
    <w:p>
      <w:pPr>
        <w:pStyle w:val="ListParagraph"/>
        <w:numPr>
          <w:ilvl w:val="0"/>
          <w:numId w:val="2"/>
        </w:numPr>
      </w:pPr>
      <w:r>
        <w:rPr>
          <w:color w:val="444444"/>
          <w:sz w:val="22"/>
          <w:szCs w:val="22"/>
        </w:rPr>
        <w:t xml:space="preserve">Identification of missing information (NULL values)</w:t>
      </w:r>
    </w:p>
    <w:p>
      <w:pPr>
        <w:pStyle w:val="ListParagraph"/>
        <w:numPr>
          <w:ilvl w:val="0"/>
          <w:numId w:val="2"/>
        </w:numPr>
      </w:pPr>
      <w:r>
        <w:rPr>
          <w:color w:val="444444"/>
          <w:sz w:val="22"/>
          <w:szCs w:val="22"/>
        </w:rPr>
        <w:t xml:space="preserve">Detection of duplicate records</w:t>
      </w:r>
    </w:p>
    <w:p>
      <w:pPr>
        <w:pStyle w:val="ListParagraph"/>
        <w:numPr>
          <w:ilvl w:val="0"/>
          <w:numId w:val="2"/>
        </w:numPr>
      </w:pPr>
      <w:r>
        <w:rPr>
          <w:color w:val="444444"/>
          <w:sz w:val="22"/>
          <w:szCs w:val="22"/>
        </w:rPr>
        <w:t xml:space="preserve">Identification of faculties/departments that need to be strengthened</w:t>
      </w:r>
    </w:p>
    <w:p>
      <w:pPr>
        <w:pStyle w:val="ListParagraph"/>
        <w:numPr>
          <w:ilvl w:val="0"/>
          <w:numId w:val="2"/>
        </w:numPr>
      </w:pPr>
      <w:r>
        <w:rPr>
          <w:color w:val="444444"/>
          <w:sz w:val="22"/>
          <w:szCs w:val="22"/>
        </w:rPr>
        <w:t xml:space="preserve">Additional relevant information for the new academic season</w:t>
      </w:r>
    </w:p>
    <w:p>
      <w:pPr>
        <w:spacing w:before="100" w:after="100"/>
      </w:pPr>
      <w:r>
        <w:t xml:space="preserve"/>
      </w:r>
    </w:p>
    <w:p>
      <w:pPr>
        <w:pStyle w:val="Heading1"/>
      </w:pPr>
      <w:r>
        <w:rPr>
          <w:b/>
          <w:bCs/>
          <w:color w:val="1F3864"/>
          <w:sz w:val="32"/>
          <w:szCs w:val="32"/>
        </w:rPr>
        <w:t xml:space="preserve">2. Data Sources &amp; Tables Used</w:t>
      </w:r>
    </w:p>
    <w:p>
      <w:pPr>
        <w:pBdr>
          <w:bottom w:val="single" w:color="2D6A9F" w:sz="4" w:space="1"/>
        </w:pBdr>
        <w:spacing w:before="160" w:after="160"/>
      </w:pPr>
      <w:r>
        <w:t xml:space="preserve"/>
      </w:r>
    </w:p>
    <w:p>
      <w:pPr>
        <w:spacing w:before="80" w:after="80"/>
      </w:pPr>
      <w:r>
        <w:rPr>
          <w:color w:val="444444"/>
          <w:sz w:val="22"/>
          <w:szCs w:val="22"/>
        </w:rPr>
        <w:t xml:space="preserve">The following tables from the AD schema were used in the analysis: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tcPr>
          <w:p>
            <w:r>
              <w:rPr>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tcPr>
          <w:p>
            <w:r>
              <w:rPr>
                <w:b/>
                <w:bCs/>
                <w:color w:val="FFFFFF"/>
                <w:sz w:val="20"/>
                <w:szCs w:val="20"/>
              </w:rPr>
              <w:t xml:space="preserve">Key Columns</w:t>
            </w:r>
          </w:p>
        </w:tc>
        <w:tc>
          <w:tcPr>
            <w:tcW w:type="dxa" w:w="336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AD_ACADEMIC_SESSION</w:t>
            </w:r>
          </w:p>
        </w:tc>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SESSION_ID, SESSION_NAME</w:t>
            </w:r>
          </w:p>
        </w:tc>
        <w:tc>
          <w:tcPr>
            <w:tcW w:type="dxa" w:w="3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Academic year periods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AD_COURSE_DETAILS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COURSE_ID, COURSE_NAME, SESSION_ID, DEPARTMENT_ID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Course catalog</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AD_DEPARTMENTS</w:t>
            </w:r>
          </w:p>
        </w:tc>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DEPARTMENT_ID, DEPARTMENT_NAME, HOD</w:t>
            </w:r>
          </w:p>
        </w:tc>
        <w:tc>
          <w:tcPr>
            <w:tcW w:type="dxa" w:w="3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Department structure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AD_FACULTY_DETAILS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FACULTY_ID, FIRST_NAME, LAST_NAME, JOB_ID, HIRE_DATE, SALARY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Faculty roster</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AD_FACULTY_COURSE_DETAILS</w:t>
            </w:r>
          </w:p>
        </w:tc>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FACULTY_ID, COURSE_ID</w:t>
            </w:r>
          </w:p>
        </w:tc>
        <w:tc>
          <w:tcPr>
            <w:tcW w:type="dxa" w:w="3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Course-Faculty assignments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AD_JOBS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JOB_ID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Job role catalog</w:t>
            </w:r>
          </w:p>
        </w:tc>
      </w:tr>
    </w:tbl>
    <w:p>
      <w:pPr>
        <w:spacing w:before="100" w:after="100"/>
      </w:pPr>
      <w:r>
        <w:t xml:space="preserve"/>
      </w:r>
    </w:p>
    <w:p>
      <w:pPr>
        <w:pStyle w:val="Heading1"/>
      </w:pPr>
      <w:r>
        <w:rPr>
          <w:b/>
          <w:bCs/>
          <w:color w:val="1F3864"/>
          <w:sz w:val="32"/>
          <w:szCs w:val="32"/>
        </w:rPr>
        <w:t xml:space="preserve">3. Consolidated Table — Full Outer Join</w:t>
      </w:r>
    </w:p>
    <w:p>
      <w:pPr>
        <w:pBdr>
          <w:bottom w:val="single" w:color="2D6A9F" w:sz="4" w:space="1"/>
        </w:pBdr>
        <w:spacing w:before="160" w:after="160"/>
      </w:pPr>
      <w:r>
        <w:t xml:space="preserve"/>
      </w:r>
    </w:p>
    <w:p>
      <w:pPr>
        <w:spacing w:before="80" w:after="80"/>
      </w:pPr>
      <w:r>
        <w:rPr>
          <w:color w:val="444444"/>
          <w:sz w:val="22"/>
          <w:szCs w:val="22"/>
        </w:rPr>
        <w:t xml:space="preserve">The following query consolidates all required information into a single result set using FULL OUTER JOIN to ensure no records are excluded, even if they lack matching entries in related tables.</w:t>
      </w:r>
    </w:p>
    <w:p>
      <w:pPr>
        <w:spacing w:before="100" w:after="100"/>
      </w:pPr>
      <w:r>
        <w:t xml:space="preserve"/>
      </w:r>
    </w:p>
    <w:p>
      <w:pPr>
        <w:pBdr>
          <w:left w:val="single" w:color="2D6A9F" w:sz="12" w:space="4"/>
        </w:pBdr>
        <w:shd w:fill="F0F4F8" w:val="clear"/>
        <w:spacing w:before="120" w:after="120"/>
        <w:ind w:left="360"/>
      </w:pPr>
      <w:r>
        <w:rPr>
          <w:b/>
          <w:bCs/>
          <w:color w:val="2D6A9F"/>
          <w:sz w:val="20"/>
          <w:szCs w:val="20"/>
        </w:rPr>
        <w:t xml:space="preserve">Query: Full Outer Join Consolidation</w:t>
      </w:r>
    </w:p>
    <w:p>
      <w:pPr>
        <w:spacing w:before="100" w:after="100"/>
      </w:pPr>
      <w:r>
        <w:t xml:space="preserve"/>
      </w:r>
    </w:p>
    <w:p>
      <w:pPr>
        <w:spacing w:before="80" w:after="80"/>
      </w:pPr>
      <w:r>
        <w:rPr>
          <w:color w:val="444444"/>
          <w:sz w:val="22"/>
          <w:szCs w:val="22"/>
        </w:rPr>
        <w:t xml:space="preserve">The query joins AD_ACADEMIC_SESSION → AD_COURSE_DETAILS → AD_DEPARTMENTS → AD_FACULTY_COURSE_DETAILS → AD_FACULTY_DETAILS using FULL OUTER JOIN at each step, producing 15 records that represent the complete academic picture across all sessions.</w:t>
      </w:r>
    </w:p>
    <w:p>
      <w:pPr>
        <w:spacing w:before="100" w:after="100"/>
      </w:pPr>
      <w:r>
        <w:t xml:space="preserve"/>
      </w:r>
    </w:p>
    <w:p>
      <w:pPr>
        <w:spacing w:before="200" w:after="100"/>
      </w:pPr>
      <w:r>
        <w:rPr>
          <w:b/>
          <w:bCs/>
          <w:color w:val="333333"/>
          <w:sz w:val="24"/>
          <w:szCs w:val="24"/>
        </w:rPr>
        <w:t xml:space="preserve">Consolidated Results — 15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1500"/>
        <w:gridCol w:w="1100"/>
        <w:gridCol w:w="1500"/>
        <w:gridCol w:w="1360"/>
      </w:tblGrid>
      <w:tr>
        <w:tc>
          <w:tcPr>
            <w:tcW w:type="dxa" w:w="9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tcPr>
          <w:p>
            <w:r>
              <w:rPr>
                <w:b/>
                <w:bCs/>
                <w:color w:val="FFFFFF"/>
                <w:sz w:val="20"/>
                <w:szCs w:val="20"/>
              </w:rPr>
              <w:t xml:space="preserve">SESSION</w:t>
            </w:r>
          </w:p>
        </w:tc>
        <w:tc>
          <w:tcPr>
            <w:tcW w:type="dxa" w:w="14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tcPr>
          <w:p>
            <w:r>
              <w:rPr>
                <w:b/>
                <w:bCs/>
                <w:color w:val="FFFFFF"/>
                <w:sz w:val="20"/>
                <w:szCs w:val="20"/>
              </w:rPr>
              <w:t xml:space="preserve">SESSION NAME</w:t>
            </w:r>
          </w:p>
        </w:tc>
        <w:tc>
          <w:tcPr>
            <w:tcW w:type="dxa" w:w="16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tcPr>
          <w:p>
            <w:r>
              <w:rPr>
                <w:b/>
                <w:bCs/>
                <w:color w:val="FFFFFF"/>
                <w:sz w:val="20"/>
                <w:szCs w:val="20"/>
              </w:rPr>
              <w:t xml:space="preserve">DEPARTMENT</w:t>
            </w:r>
          </w:p>
        </w:tc>
        <w:tc>
          <w:tcPr>
            <w:tcW w:type="dxa" w:w="15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tcPr>
          <w:p>
            <w:r>
              <w:rPr>
                <w:b/>
                <w:bCs/>
                <w:color w:val="FFFFFF"/>
                <w:sz w:val="20"/>
                <w:szCs w:val="20"/>
              </w:rPr>
              <w:t xml:space="preserve">HOD</w:t>
            </w:r>
          </w:p>
        </w:tc>
        <w:tc>
          <w:tcPr>
            <w:tcW w:type="dxa" w:w="11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tcPr>
          <w:p>
            <w:r>
              <w:rPr>
                <w:b/>
                <w:bCs/>
                <w:color w:val="FFFFFF"/>
                <w:sz w:val="20"/>
                <w:szCs w:val="20"/>
              </w:rPr>
              <w:t xml:space="preserve">COURSE ID</w:t>
            </w:r>
          </w:p>
        </w:tc>
        <w:tc>
          <w:tcPr>
            <w:tcW w:type="dxa" w:w="15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tcPr>
          <w:p>
            <w:r>
              <w:rPr>
                <w:b/>
                <w:bCs/>
                <w:color w:val="FFFFFF"/>
                <w:sz w:val="20"/>
                <w:szCs w:val="20"/>
              </w:rPr>
              <w:t xml:space="preserve">COURSE NAME</w:t>
            </w:r>
          </w:p>
        </w:tc>
        <w:tc>
          <w:tcPr>
            <w:tcW w:type="dxa" w:w="136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tcPr>
          <w:p>
            <w:r>
              <w:rPr>
                <w:b/>
                <w:bCs/>
                <w:color w:val="FFFFFF"/>
                <w:sz w:val="20"/>
                <w:szCs w:val="20"/>
              </w:rPr>
              <w:t xml:space="preserve">FACULTY</w:t>
            </w:r>
          </w:p>
        </w:tc>
      </w:tr>
      <w:tr>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100</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SPRING SESSION</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ACCOUNTING</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MARK SMITH</w:t>
            </w:r>
          </w:p>
        </w:tc>
        <w:tc>
          <w:tcPr>
            <w:tcW w:type="dxa" w:w="11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192</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COST ACCOUNTING</w:t>
            </w:r>
          </w:p>
        </w:tc>
        <w:tc>
          <w:tcPr>
            <w:tcW w:type="dxa" w:w="1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Steven King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SPRING SESSION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ACCOUNTING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MARK SMITH</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193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STRATEGIC TAX...</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Steven King</w:t>
            </w:r>
          </w:p>
        </w:tc>
      </w:tr>
      <w:tr>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100</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SPRING SESSION</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ACCOUNTING</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MARK SMITH</w:t>
            </w:r>
          </w:p>
        </w:tc>
        <w:tc>
          <w:tcPr>
            <w:tcW w:type="dxa" w:w="11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190</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PRINCIPLES OF ACC.</w:t>
            </w:r>
          </w:p>
        </w:tc>
        <w:tc>
          <w:tcPr>
            <w:tcW w:type="dxa" w:w="1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Bruce Ernst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SPRING SESSION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ACCOUNTING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MARK SMITH</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191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INTRO BUSINESS LAW</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David Austin</w:t>
            </w:r>
          </w:p>
        </w:tc>
      </w:tr>
      <w:tr>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100</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SPRING SESSION</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LITERATURE</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ANITA TAYLOR</w:t>
            </w:r>
          </w:p>
        </w:tc>
        <w:tc>
          <w:tcPr>
            <w:tcW w:type="dxa" w:w="11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189</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COLLEGE READING</w:t>
            </w:r>
          </w:p>
        </w:tc>
        <w:tc>
          <w:tcPr>
            <w:tcW w:type="dxa" w:w="1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Neena Kochhar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200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FALL SESSION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BIOLOGY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DAVE GOLD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196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INTRO PLANT PHYS.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Lex De Haan</w:t>
            </w:r>
          </w:p>
        </w:tc>
      </w:tr>
      <w:tr>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200</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FALL SESSION</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BIOLOGY</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DAVE GOLD</w:t>
            </w:r>
          </w:p>
        </w:tc>
        <w:tc>
          <w:tcPr>
            <w:tcW w:type="dxa" w:w="11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194</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GENERAL BIOLOGY</w:t>
            </w:r>
          </w:p>
        </w:tc>
        <w:tc>
          <w:tcPr>
            <w:tcW w:type="dxa" w:w="1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Alex Hunold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200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FALL SESSION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BIOLOGY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DAVE GOLD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195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CELL BIOLOGY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Bruce Ernst</w:t>
            </w:r>
          </w:p>
        </w:tc>
      </w:tr>
      <w:tr>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200</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FALL SESSION</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BIOLOGY</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DAVE GOLD</w:t>
            </w:r>
          </w:p>
        </w:tc>
        <w:tc>
          <w:tcPr>
            <w:tcW w:type="dxa" w:w="11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197</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MARINE BIOLOGY</w:t>
            </w:r>
          </w:p>
        </w:tc>
        <w:tc>
          <w:tcPr>
            <w:tcW w:type="dxa" w:w="1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Daniel Faviet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200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FALL SESSION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LITERATURE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ANITA TAYLOR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176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BUSINESS WRITING</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Neena Kochhar</w:t>
            </w:r>
          </w:p>
        </w:tc>
      </w:tr>
      <w:tr>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300</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SUMMER SESSION</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COMP. SCIENCE</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LINDA BROWN</w:t>
            </w:r>
          </w:p>
        </w:tc>
        <w:tc>
          <w:tcPr>
            <w:tcW w:type="dxa" w:w="11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199</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WEB PROGRAMMING</w:t>
            </w:r>
          </w:p>
        </w:tc>
        <w:tc>
          <w:tcPr>
            <w:tcW w:type="dxa" w:w="1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Valli Pataballa</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300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SUMMER SESSION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COMP. SCIENCE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LINDA BROWN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198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SIMULATION &amp; MOD.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Valli Pataballa</w:t>
            </w:r>
          </w:p>
        </w:tc>
      </w:tr>
      <w:tr>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300</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SUMMER SESSION</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COMP. SCIENCE</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LINDA BROWN</w:t>
            </w:r>
          </w:p>
        </w:tc>
        <w:tc>
          <w:tcPr>
            <w:tcW w:type="dxa" w:w="11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187</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DATA STRUCTURES</w:t>
            </w:r>
          </w:p>
        </w:tc>
        <w:tc>
          <w:tcPr>
            <w:tcW w:type="dxa" w:w="1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Diana Lorentz</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300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SUMMER SESSION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COMP. SCIENCE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LINDA BROWN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188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OOAD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Nancy Greenberg</w:t>
            </w:r>
          </w:p>
        </w:tc>
      </w:tr>
      <w:tr>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300</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SUMMER SESSION</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LITERATURE</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ANITA TAYLOR</w:t>
            </w:r>
          </w:p>
        </w:tc>
        <w:tc>
          <w:tcPr>
            <w:tcW w:type="dxa" w:w="11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175</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AMERICAN LITERATURE</w:t>
            </w:r>
          </w:p>
        </w:tc>
        <w:tc>
          <w:tcPr>
            <w:tcW w:type="dxa" w:w="1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Diana Lorentz</w:t>
            </w:r>
          </w:p>
        </w:tc>
      </w:tr>
    </w:tbl>
    <w:p>
      <w:pPr>
        <w:spacing w:before="100" w:after="100"/>
      </w:pPr>
      <w:r>
        <w:t xml:space="preserve"/>
      </w:r>
    </w:p>
    <w:p>
      <w:pPr>
        <w:pStyle w:val="Heading1"/>
      </w:pPr>
      <w:r>
        <w:rPr>
          <w:b/>
          <w:bCs/>
          <w:color w:val="1F3864"/>
          <w:sz w:val="32"/>
          <w:szCs w:val="32"/>
        </w:rPr>
        <w:t xml:space="preserve">4. Data Quality Analysis</w:t>
      </w:r>
    </w:p>
    <w:p>
      <w:pPr>
        <w:pBdr>
          <w:bottom w:val="single" w:color="2D6A9F" w:sz="4" w:space="1"/>
        </w:pBdr>
        <w:spacing w:before="160" w:after="160"/>
      </w:pPr>
      <w:r>
        <w:t xml:space="preserve"/>
      </w:r>
    </w:p>
    <w:p>
      <w:pPr>
        <w:pStyle w:val="Heading2"/>
      </w:pPr>
      <w:r>
        <w:rPr>
          <w:b/>
          <w:bCs/>
          <w:color w:val="2D6A9F"/>
          <w:sz w:val="26"/>
          <w:szCs w:val="26"/>
        </w:rPr>
        <w:t xml:space="preserve">4.1 NULL Values (Missing Information)</w:t>
      </w:r>
    </w:p>
    <w:p>
      <w:pPr>
        <w:spacing w:before="80" w:after="80"/>
      </w:pPr>
      <w:r>
        <w:rPr>
          <w:color w:val="444444"/>
          <w:sz w:val="22"/>
          <w:szCs w:val="22"/>
        </w:rPr>
        <w:t xml:space="preserve">The NULL analysis query was executed across all columns of the consolidated view. The result:</w:t>
      </w:r>
    </w:p>
    <w:p>
      <w:pPr>
        <w:spacing w:before="100" w:after="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tblGrid>
      <w:tr>
        <w:tc>
          <w:tcPr>
            <w:tcW w:type="dxa" w:w="30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tcPr>
          <w:p>
            <w:r>
              <w:rPr>
                <w:b/>
                <w:bCs/>
                <w:color w:val="FFFFFF"/>
                <w:sz w:val="20"/>
                <w:szCs w:val="20"/>
              </w:rPr>
              <w:t xml:space="preserve">Column Checked</w:t>
            </w:r>
          </w:p>
        </w:tc>
        <w:tc>
          <w:tcPr>
            <w:tcW w:type="dxa" w:w="15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tcPr>
          <w:p>
            <w:r>
              <w:rPr>
                <w:b/>
                <w:bCs/>
                <w:color w:val="FFFFFF"/>
                <w:sz w:val="20"/>
                <w:szCs w:val="20"/>
              </w:rPr>
              <w:t xml:space="preserve">NULLs Found</w:t>
            </w:r>
          </w:p>
        </w:tc>
        <w:tc>
          <w:tcPr>
            <w:tcW w:type="dxa" w:w="15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tcPr>
          <w:p>
            <w:r>
              <w:rPr>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SESSION_NAME</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0</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 Complete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DEPARTMENT_NAME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 Complete</w:t>
            </w:r>
          </w:p>
        </w:tc>
      </w:tr>
      <w:tr>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COURSE_NAME</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0</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 Complete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FACULTY_NAME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 Complete</w:t>
            </w:r>
          </w:p>
        </w:tc>
      </w:tr>
    </w:tbl>
    <w:p>
      <w:pPr>
        <w:spacing w:before="100" w:after="100"/>
      </w:pPr>
      <w:r>
        <w:t xml:space="preserve"/>
      </w:r>
    </w:p>
    <w:p>
      <w:pPr>
        <w:spacing w:before="80" w:after="80"/>
      </w:pPr>
      <w:r>
        <w:rPr>
          <w:color w:val="444444"/>
          <w:sz w:val="22"/>
          <w:szCs w:val="22"/>
        </w:rPr>
        <w:t xml:space="preserve">Finding: The database contains no NULL values. All records are fully populated across all key fields, indicating strong data integrity.</w:t>
      </w:r>
    </w:p>
    <w:p>
      <w:pPr>
        <w:spacing w:before="100" w:after="100"/>
      </w:pPr>
      <w:r>
        <w:t xml:space="preserve"/>
      </w:r>
    </w:p>
    <w:p>
      <w:pPr>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24500" cy="2286000"/>
                    </a:xfrm>
                    <a:prstGeom prst="rect">
                      <a:avLst/>
                    </a:prstGeom>
                  </pic:spPr>
                </pic:pic>
              </a:graphicData>
            </a:graphic>
          </wp:inline>
        </w:drawing>
      </w:r>
    </w:p>
    <w:p>
      <w:pPr>
        <w:spacing w:before="100" w:after="100"/>
      </w:pPr>
      <w:r>
        <w:t xml:space="preserve"/>
      </w:r>
    </w:p>
    <w:p>
      <w:pPr>
        <w:pStyle w:val="Heading2"/>
      </w:pPr>
      <w:r>
        <w:rPr>
          <w:b/>
          <w:bCs/>
          <w:color w:val="2D6A9F"/>
          <w:sz w:val="26"/>
          <w:szCs w:val="26"/>
        </w:rPr>
        <w:t xml:space="preserve">4.2 Duplicate Records</w:t>
      </w:r>
    </w:p>
    <w:p>
      <w:pPr>
        <w:spacing w:before="80" w:after="80"/>
      </w:pPr>
      <w:r>
        <w:rPr>
          <w:color w:val="444444"/>
          <w:sz w:val="22"/>
          <w:szCs w:val="22"/>
        </w:rPr>
        <w:t xml:space="preserve">Duplicate detection queries were executed on courses, departments, and sessions:</w:t>
      </w:r>
    </w:p>
    <w:p>
      <w:pPr>
        <w:pStyle w:val="ListParagraph"/>
        <w:numPr>
          <w:ilvl w:val="0"/>
          <w:numId w:val="2"/>
        </w:numPr>
      </w:pPr>
      <w:r>
        <w:rPr>
          <w:color w:val="444444"/>
          <w:sz w:val="22"/>
          <w:szCs w:val="22"/>
        </w:rPr>
        <w:t xml:space="preserve">Duplicate courses: 0 found</w:t>
      </w:r>
    </w:p>
    <w:p>
      <w:pPr>
        <w:pStyle w:val="ListParagraph"/>
        <w:numPr>
          <w:ilvl w:val="0"/>
          <w:numId w:val="2"/>
        </w:numPr>
      </w:pPr>
      <w:r>
        <w:rPr>
          <w:color w:val="444444"/>
          <w:sz w:val="22"/>
          <w:szCs w:val="22"/>
        </w:rPr>
        <w:t xml:space="preserve">Duplicate departments: 0 found</w:t>
      </w:r>
    </w:p>
    <w:p>
      <w:pPr>
        <w:pStyle w:val="ListParagraph"/>
        <w:numPr>
          <w:ilvl w:val="0"/>
          <w:numId w:val="2"/>
        </w:numPr>
      </w:pPr>
      <w:r>
        <w:rPr>
          <w:color w:val="444444"/>
          <w:sz w:val="22"/>
          <w:szCs w:val="22"/>
        </w:rPr>
        <w:t xml:space="preserve">Duplicate sessions: 0 found</w:t>
      </w:r>
    </w:p>
    <w:p>
      <w:pPr>
        <w:spacing w:before="100" w:after="100"/>
      </w:pPr>
      <w:r>
        <w:t xml:space="preserve"/>
      </w:r>
    </w:p>
    <w:p>
      <w:pPr>
        <w:spacing w:before="80" w:after="80"/>
      </w:pPr>
      <w:r>
        <w:rPr>
          <w:color w:val="444444"/>
          <w:sz w:val="22"/>
          <w:szCs w:val="22"/>
        </w:rPr>
        <w:t xml:space="preserve">Finding: There are no duplicate records in any table. The data is clean and consistent.</w:t>
      </w:r>
    </w:p>
    <w:p>
      <w:pPr>
        <w:spacing w:before="100" w:after="100"/>
      </w:pPr>
      <w:r>
        <w:t xml:space="preserve"/>
      </w:r>
    </w:p>
    <w:p>
      <w:pPr>
        <w:pStyle w:val="Heading1"/>
      </w:pPr>
      <w:r>
        <w:rPr>
          <w:b/>
          <w:bCs/>
          <w:color w:val="1F3864"/>
          <w:sz w:val="32"/>
          <w:szCs w:val="32"/>
        </w:rPr>
        <w:t xml:space="preserve">5. Academic Analysis — Graphs &amp; Findings</w:t>
      </w:r>
    </w:p>
    <w:p>
      <w:pPr>
        <w:pBdr>
          <w:bottom w:val="single" w:color="2D6A9F" w:sz="4" w:space="1"/>
        </w:pBdr>
        <w:spacing w:before="160" w:after="160"/>
      </w:pPr>
      <w:r>
        <w:t xml:space="preserve"/>
      </w:r>
    </w:p>
    <w:p>
      <w:pPr>
        <w:pStyle w:val="Heading2"/>
      </w:pPr>
      <w:r>
        <w:rPr>
          <w:b/>
          <w:bCs/>
          <w:color w:val="2D6A9F"/>
          <w:sz w:val="26"/>
          <w:szCs w:val="26"/>
        </w:rPr>
        <w:t xml:space="preserve">5.1 Courses per Department</w:t>
      </w:r>
    </w:p>
    <w:p>
      <w:pPr>
        <w:spacing w:before="80" w:after="80"/>
      </w:pPr>
      <w:r>
        <w:rPr>
          <w:color w:val="444444"/>
          <w:sz w:val="22"/>
          <w:szCs w:val="22"/>
        </w:rPr>
        <w:t xml:space="preserve">The Literature department stands out as having fewer courses (3) compared to the other departments (4 each). This represents the most academically underserved area of the university.</w:t>
      </w:r>
    </w:p>
    <w:p>
      <w:pPr>
        <w:spacing w:before="100" w:after="100"/>
      </w:pPr>
      <w:r>
        <w:t xml:space="preserve"/>
      </w:r>
    </w:p>
    <w:p>
      <w:pPr>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52750"/>
                    </a:xfrm>
                    <a:prstGeom prst="rect">
                      <a:avLst/>
                    </a:prstGeom>
                  </pic:spPr>
                </pic:pic>
              </a:graphicData>
            </a:graphic>
          </wp:inline>
        </w:drawing>
      </w:r>
    </w:p>
    <w:p>
      <w:pPr>
        <w:spacing w:before="100" w:after="100"/>
      </w:pPr>
      <w:r>
        <w:t xml:space="preserve"/>
      </w:r>
    </w:p>
    <w:p>
      <w:pPr>
        <w:spacing w:before="80" w:after="80"/>
      </w:pPr>
      <w:r>
        <w:rPr>
          <w:color w:val="444444"/>
          <w:sz w:val="22"/>
          <w:szCs w:val="22"/>
        </w:rPr>
        <w:t xml:space="preserve">Finding: Literature has 25% fewer courses than the average. This department should be prioritized for course expansion before the new academic season.</w:t>
      </w:r>
    </w:p>
    <w:p>
      <w:pPr>
        <w:spacing w:before="100" w:after="100"/>
      </w:pPr>
      <w:r>
        <w:t xml:space="preserve"/>
      </w:r>
    </w:p>
    <w:p>
      <w:pPr>
        <w:pStyle w:val="Heading2"/>
      </w:pPr>
      <w:r>
        <w:rPr>
          <w:b/>
          <w:bCs/>
          <w:color w:val="2D6A9F"/>
          <w:sz w:val="26"/>
          <w:szCs w:val="26"/>
        </w:rPr>
        <w:t xml:space="preserve">5.2 Courses per Academic Session</w:t>
      </w:r>
    </w:p>
    <w:p>
      <w:pPr>
        <w:spacing w:before="80" w:after="80"/>
      </w:pPr>
      <w:r>
        <w:rPr>
          <w:color w:val="444444"/>
          <w:sz w:val="22"/>
          <w:szCs w:val="22"/>
        </w:rPr>
        <w:t xml:space="preserve">Each session hosts a balanced number of courses. The Summer Session has the highest unique course count (5), making it the most academically intensive period.</w:t>
      </w:r>
    </w:p>
    <w:p>
      <w:pPr>
        <w:spacing w:before="100" w:after="100"/>
      </w:pPr>
      <w:r>
        <w:t xml:space="preserve"/>
      </w:r>
    </w:p>
    <w:p>
      <w:pPr>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952750"/>
                    </a:xfrm>
                    <a:prstGeom prst="rect">
                      <a:avLst/>
                    </a:prstGeom>
                  </pic:spPr>
                </pic:pic>
              </a:graphicData>
            </a:graphic>
          </wp:inline>
        </w:drawing>
      </w:r>
    </w:p>
    <w:p>
      <w:pPr>
        <w:spacing w:before="100" w:after="100"/>
      </w:pPr>
      <w:r>
        <w:t xml:space="preserve"/>
      </w:r>
    </w:p>
    <w:p>
      <w:pPr>
        <w:spacing w:before="80" w:after="80"/>
      </w:pPr>
      <w:r>
        <w:rPr>
          <w:color w:val="444444"/>
          <w:sz w:val="22"/>
          <w:szCs w:val="22"/>
        </w:rPr>
        <w:t xml:space="preserve">Finding: All three sessions are relatively balanced, with Literature appearing as a cross-session department (present in all 3), but contributing only 1 course per session.</w:t>
      </w:r>
    </w:p>
    <w:p>
      <w:pPr>
        <w:spacing w:before="100" w:after="100"/>
      </w:pPr>
      <w:r>
        <w:t xml:space="preserve"/>
      </w:r>
    </w:p>
    <w:p>
      <w:pPr>
        <w:pStyle w:val="Heading2"/>
      </w:pPr>
      <w:r>
        <w:rPr>
          <w:b/>
          <w:bCs/>
          <w:color w:val="2D6A9F"/>
          <w:sz w:val="26"/>
          <w:szCs w:val="26"/>
        </w:rPr>
        <w:t xml:space="preserve">5.3 Teaching Load per Faculty Member</w:t>
      </w:r>
    </w:p>
    <w:p>
      <w:pPr>
        <w:spacing w:before="80" w:after="80"/>
      </w:pPr>
      <w:r>
        <w:rPr>
          <w:color w:val="444444"/>
          <w:sz w:val="22"/>
          <w:szCs w:val="22"/>
        </w:rPr>
        <w:t xml:space="preserve">Faculty teaching loads are split between 1 and 2 courses per member. Five faculty members carry only 1 course, representing potential underutilization.</w:t>
      </w:r>
    </w:p>
    <w:p>
      <w:pPr>
        <w:spacing w:before="100" w:after="100"/>
      </w:pPr>
      <w:r>
        <w:t xml:space="preserve"/>
      </w:r>
    </w:p>
    <w:p>
      <w:pPr>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spacing w:before="100" w:after="100"/>
      </w:pPr>
      <w:r>
        <w:t xml:space="preserve"/>
      </w:r>
    </w:p>
    <w:p>
      <w:pPr>
        <w:spacing w:before="80" w:after="80"/>
      </w:pPr>
      <w:r>
        <w:rPr>
          <w:color w:val="444444"/>
          <w:sz w:val="22"/>
          <w:szCs w:val="22"/>
        </w:rPr>
        <w:t xml:space="preserve">Finding: FA_HOD and FA_AF roles have the lightest teaching loads (1 course each). While FA_HOD is expected (management role), FA_AF faculty could potentially take on additional courses.</w:t>
      </w:r>
    </w:p>
    <w:p>
      <w:pPr>
        <w:spacing w:before="100" w:after="100"/>
      </w:pPr>
      <w:r>
        <w:t xml:space="preserve"/>
      </w:r>
    </w:p>
    <w:p>
      <w:pPr>
        <w:pStyle w:val="Heading2"/>
      </w:pPr>
      <w:r>
        <w:rPr>
          <w:b/>
          <w:bCs/>
          <w:color w:val="2D6A9F"/>
          <w:sz w:val="26"/>
          <w:szCs w:val="26"/>
        </w:rPr>
        <w:t xml:space="preserve">5.4 Department Activity per Session</w:t>
      </w:r>
    </w:p>
    <w:p>
      <w:pPr>
        <w:spacing w:before="80" w:after="80"/>
      </w:pPr>
      <w:r>
        <w:rPr>
          <w:color w:val="444444"/>
          <w:sz w:val="22"/>
          <w:szCs w:val="22"/>
        </w:rPr>
        <w:t xml:space="preserve">The stacked bar chart shows how departments distribute their courses across the three academic sessions. Biology and Computer Science are concentrated in single sessions, while Literature spans all three.</w:t>
      </w:r>
    </w:p>
    <w:p>
      <w:pPr>
        <w:spacing w:before="100" w:after="100"/>
      </w:pPr>
      <w:r>
        <w:t xml:space="preserve"/>
      </w:r>
    </w:p>
    <w:p>
      <w:pPr>
        <w:jc w:val="center"/>
      </w:pPr>
      <w:r>
        <w:drawing>
          <wp:inline distT="0" distB="0" distL="0" distR="0">
            <wp:extent cx="5524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52750"/>
                    </a:xfrm>
                    <a:prstGeom prst="rect">
                      <a:avLst/>
                    </a:prstGeom>
                  </pic:spPr>
                </pic:pic>
              </a:graphicData>
            </a:graphic>
          </wp:inline>
        </w:drawing>
      </w:r>
    </w:p>
    <w:p>
      <w:pPr>
        <w:spacing w:before="100" w:after="100"/>
      </w:pPr>
      <w:r>
        <w:t xml:space="preserve"/>
      </w:r>
    </w:p>
    <w:p>
      <w:pPr>
        <w:spacing w:before="80" w:after="80"/>
      </w:pPr>
      <w:r>
        <w:rPr>
          <w:color w:val="444444"/>
          <w:sz w:val="22"/>
          <w:szCs w:val="22"/>
        </w:rPr>
        <w:t xml:space="preserve">Finding: Single-session concentration of Biology and Computer Science creates an uneven academic load. Redistributing some courses across sessions could improve resource planning.</w:t>
      </w:r>
    </w:p>
    <w:p>
      <w:pPr>
        <w:spacing w:before="100" w:after="100"/>
      </w:pPr>
      <w:r>
        <w:t xml:space="preserve"/>
      </w:r>
    </w:p>
    <w:p>
      <w:pPr>
        <w:pStyle w:val="Heading2"/>
      </w:pPr>
      <w:r>
        <w:rPr>
          <w:b/>
          <w:bCs/>
          <w:color w:val="2D6A9F"/>
          <w:sz w:val="26"/>
          <w:szCs w:val="26"/>
        </w:rPr>
        <w:t xml:space="preserve">5.5 Average Salary by Job Role</w:t>
      </w:r>
    </w:p>
    <w:p>
      <w:pPr>
        <w:spacing w:before="80" w:after="80"/>
      </w:pPr>
      <w:r>
        <w:rPr>
          <w:color w:val="444444"/>
          <w:sz w:val="22"/>
          <w:szCs w:val="22"/>
        </w:rPr>
        <w:t xml:space="preserve">There is significant salary disparity between roles. FA_HOD (Head of Department) earns substantially more than teaching roles, which is expected for management positions. However, FA_AF and FA_ST roles are notably underpaid relative to their peers.</w:t>
      </w:r>
    </w:p>
    <w:p>
      <w:pPr>
        <w:spacing w:before="100" w:after="100"/>
      </w:pPr>
      <w:r>
        <w:t xml:space="preserve"/>
      </w:r>
    </w:p>
    <w:p>
      <w:pPr>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before="100" w:after="100"/>
      </w:pPr>
      <w:r>
        <w:t xml:space="preserve"/>
      </w:r>
    </w:p>
    <w:p>
      <w:pPr>
        <w:spacing w:before="80" w:after="80"/>
      </w:pPr>
      <w:r>
        <w:rPr>
          <w:color w:val="444444"/>
          <w:sz w:val="22"/>
          <w:szCs w:val="22"/>
        </w:rPr>
        <w:t xml:space="preserve">Finding: The salary gap between FA_HOD ($30,100 avg) and FA_AF ($12,000 avg) is significant. A salary review for junior roles (FA_AF, FA_ST) may be needed to retain talent and attract new faculty.</w:t>
      </w:r>
    </w:p>
    <w:p>
      <w:pPr>
        <w:spacing w:before="100" w:after="100"/>
      </w:pPr>
      <w:r>
        <w:t xml:space="preserve"/>
      </w:r>
    </w:p>
    <w:p>
      <w:pPr>
        <w:pStyle w:val="Heading2"/>
      </w:pPr>
      <w:r>
        <w:rPr>
          <w:b/>
          <w:bCs/>
          <w:color w:val="2D6A9F"/>
          <w:sz w:val="26"/>
          <w:szCs w:val="26"/>
        </w:rPr>
        <w:t xml:space="preserve">5.6 Faculty Hiring Timeline</w:t>
      </w:r>
    </w:p>
    <w:p>
      <w:pPr>
        <w:spacing w:before="80" w:after="80"/>
      </w:pPr>
      <w:r>
        <w:rPr>
          <w:color w:val="444444"/>
          <w:sz w:val="22"/>
          <w:szCs w:val="22"/>
        </w:rPr>
        <w:t xml:space="preserve">All faculty were hired between 2010 and 2015. No new hires have been recorded since 2015, representing a 10+ year gap in faculty recruitment.</w:t>
      </w:r>
    </w:p>
    <w:p>
      <w:pPr>
        <w:spacing w:before="100" w:after="100"/>
      </w:pPr>
      <w:r>
        <w:t xml:space="preserve"/>
      </w:r>
    </w:p>
    <w:p>
      <w:pPr>
        <w:jc w:val="center"/>
      </w:pPr>
      <w:r>
        <w:drawing>
          <wp:inline distT="0" distB="0" distL="0" distR="0">
            <wp:extent cx="6096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952750"/>
                    </a:xfrm>
                    <a:prstGeom prst="rect">
                      <a:avLst/>
                    </a:prstGeom>
                  </pic:spPr>
                </pic:pic>
              </a:graphicData>
            </a:graphic>
          </wp:inline>
        </w:drawing>
      </w:r>
    </w:p>
    <w:p>
      <w:pPr>
        <w:spacing w:before="100" w:after="100"/>
      </w:pPr>
      <w:r>
        <w:t xml:space="preserve"/>
      </w:r>
    </w:p>
    <w:p>
      <w:pPr>
        <w:spacing w:before="80" w:after="80"/>
      </w:pPr>
      <w:r>
        <w:rPr>
          <w:color w:val="444444"/>
          <w:sz w:val="22"/>
          <w:szCs w:val="22"/>
        </w:rPr>
        <w:t xml:space="preserve">Finding: The 10-year hiring gap is the most critical finding. Without new faculty, the university risks knowledge stagnation, increased workload on existing staff, and inability to offer new courses. This is urgent before the new academic season.</w:t>
      </w:r>
    </w:p>
    <w:p>
      <w:pPr>
        <w:spacing w:before="100" w:after="100"/>
      </w:pPr>
      <w:r>
        <w:t xml:space="preserve"/>
      </w:r>
    </w:p>
    <w:p>
      <w:pPr>
        <w:pStyle w:val="Heading1"/>
      </w:pPr>
      <w:r>
        <w:rPr>
          <w:b/>
          <w:bCs/>
          <w:color w:val="1F3864"/>
          <w:sz w:val="32"/>
          <w:szCs w:val="32"/>
        </w:rPr>
        <w:t xml:space="preserve">6. Faculties That Need Strengthening</w:t>
      </w:r>
    </w:p>
    <w:p>
      <w:pPr>
        <w:pBdr>
          <w:bottom w:val="single" w:color="2D6A9F" w:sz="4" w:space="1"/>
        </w:pBdr>
        <w:spacing w:before="160" w:after="160"/>
      </w:pPr>
      <w:r>
        <w:t xml:space="preserve"/>
      </w:r>
    </w:p>
    <w:p>
      <w:pPr>
        <w:spacing w:before="80" w:after="80"/>
      </w:pPr>
      <w:r>
        <w:rPr>
          <w:color w:val="444444"/>
          <w:sz w:val="22"/>
          <w:szCs w:val="22"/>
        </w:rPr>
        <w:t xml:space="preserve">Based on the analysis, the following areas require priority attention: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c>
          <w:tcPr>
            <w:tcW w:type="dxa" w:w="22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tcPr>
          <w:p>
            <w:r>
              <w:rPr>
                <w:b/>
                <w:bCs/>
                <w:color w:val="FFFFFF"/>
                <w:sz w:val="20"/>
                <w:szCs w:val="20"/>
              </w:rPr>
              <w:t xml:space="preserve">Department / Role</w:t>
            </w:r>
          </w:p>
        </w:tc>
        <w:tc>
          <w:tcPr>
            <w:tcW w:type="dxa" w:w="18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tcPr>
          <w:p>
            <w:r>
              <w:rPr>
                <w:b/>
                <w:bCs/>
                <w:color w:val="FFFFFF"/>
                <w:sz w:val="20"/>
                <w:szCs w:val="20"/>
              </w:rPr>
              <w:t xml:space="preserve">Current Courses</w:t>
            </w:r>
          </w:p>
        </w:tc>
        <w:tc>
          <w:tcPr>
            <w:tcW w:type="dxa" w:w="216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tcPr>
          <w:p>
            <w:r>
              <w:rPr>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2D6A9F" w:val="clear"/>
            <w:tcMar>
              <w:top w:type="dxa" w:w="80"/>
              <w:left w:type="dxa" w:w="120"/>
              <w:bottom w:type="dxa" w:w="80"/>
              <w:right w:type="dxa" w:w="120"/>
            </w:tcMar>
          </w:tcPr>
          <w:p>
            <w:r>
              <w:rPr>
                <w:b/>
                <w:bCs/>
                <w:color w:val="FFFFFF"/>
                <w:sz w:val="20"/>
                <w:szCs w:val="20"/>
              </w:rPr>
              <w:t xml:space="preserve">Recommendation</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LITERATURE (Dept)</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3 courses</w:t>
            </w:r>
          </w:p>
        </w:tc>
        <w:tc>
          <w:tcPr>
            <w:tcW w:type="dxa" w:w="2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Below average</w:t>
            </w:r>
          </w:p>
        </w:tc>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Add 1-2 new courses; hire specialist faculty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FA_AF (Role)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1 course/faculty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Underloaded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Assign second course to Lex De Haan &amp; Hunold</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FA_HOD (Role)</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1 course/faculty</w:t>
            </w:r>
          </w:p>
        </w:tc>
        <w:tc>
          <w:tcPr>
            <w:tcW w:type="dxa" w:w="2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Low teaching load</w:t>
            </w:r>
          </w:p>
        </w:tc>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color w:val="333333"/>
                <w:sz w:val="20"/>
                <w:szCs w:val="20"/>
              </w:rPr>
              <w:t xml:space="preserve">Evaluate if HOD can take on 1 additional course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ALL (Hiring)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No hires since 2015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10-yr gap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333333"/>
                <w:sz w:val="20"/>
                <w:szCs w:val="20"/>
              </w:rPr>
              <w:t xml:space="preserve">Urgent: recruit at least 2-3 new faculty members</w:t>
            </w:r>
          </w:p>
        </w:tc>
      </w:tr>
    </w:tbl>
    <w:p>
      <w:pPr>
        <w:spacing w:before="100" w:after="100"/>
      </w:pPr>
      <w:r>
        <w:t xml:space="preserve"/>
      </w:r>
    </w:p>
    <w:p>
      <w:pPr>
        <w:pStyle w:val="Heading1"/>
      </w:pPr>
      <w:r>
        <w:rPr>
          <w:b/>
          <w:bCs/>
          <w:color w:val="1F3864"/>
          <w:sz w:val="32"/>
          <w:szCs w:val="32"/>
        </w:rPr>
        <w:t xml:space="preserve">7. Proposals for the New Academic Season</w:t>
      </w:r>
    </w:p>
    <w:p>
      <w:pPr>
        <w:pBdr>
          <w:bottom w:val="single" w:color="2D6A9F" w:sz="4" w:space="1"/>
        </w:pBdr>
        <w:spacing w:before="160" w:after="160"/>
      </w:pPr>
      <w:r>
        <w:t xml:space="preserve"/>
      </w:r>
    </w:p>
    <w:p>
      <w:pPr>
        <w:spacing w:before="200" w:after="100"/>
      </w:pPr>
      <w:r>
        <w:rPr>
          <w:b/>
          <w:bCs/>
          <w:color w:val="333333"/>
          <w:sz w:val="24"/>
          <w:szCs w:val="24"/>
        </w:rPr>
        <w:t xml:space="preserve">Short-term (Before Season Opens)</w:t>
      </w:r>
    </w:p>
    <w:p>
      <w:pPr>
        <w:pStyle w:val="ListParagraph"/>
        <w:numPr>
          <w:ilvl w:val="0"/>
          <w:numId w:val="2"/>
        </w:numPr>
      </w:pPr>
      <w:r>
        <w:rPr>
          <w:color w:val="444444"/>
          <w:sz w:val="22"/>
          <w:szCs w:val="22"/>
        </w:rPr>
        <w:t xml:space="preserve">Expand Literature department: add at least 1 new course to reach parity with other departments</w:t>
      </w:r>
    </w:p>
    <w:p>
      <w:pPr>
        <w:pStyle w:val="ListParagraph"/>
        <w:numPr>
          <w:ilvl w:val="0"/>
          <w:numId w:val="2"/>
        </w:numPr>
      </w:pPr>
      <w:r>
        <w:rPr>
          <w:color w:val="444444"/>
          <w:sz w:val="22"/>
          <w:szCs w:val="22"/>
        </w:rPr>
        <w:t xml:space="preserve">Reassign Lex De Haan and Alexander Hunold (FA_AF) to cover an additional course each</w:t>
      </w:r>
    </w:p>
    <w:p>
      <w:pPr>
        <w:pStyle w:val="ListParagraph"/>
        <w:numPr>
          <w:ilvl w:val="0"/>
          <w:numId w:val="2"/>
        </w:numPr>
      </w:pPr>
      <w:r>
        <w:rPr>
          <w:color w:val="444444"/>
          <w:sz w:val="22"/>
          <w:szCs w:val="22"/>
        </w:rPr>
        <w:t xml:space="preserve">Review David Austin's (FA_SF) capacity to take a second course</w:t>
      </w:r>
    </w:p>
    <w:p>
      <w:pPr>
        <w:spacing w:before="100" w:after="100"/>
      </w:pPr>
      <w:r>
        <w:t xml:space="preserve"/>
      </w:r>
    </w:p>
    <w:p>
      <w:pPr>
        <w:spacing w:before="200" w:after="100"/>
      </w:pPr>
      <w:r>
        <w:rPr>
          <w:b/>
          <w:bCs/>
          <w:color w:val="333333"/>
          <w:sz w:val="24"/>
          <w:szCs w:val="24"/>
        </w:rPr>
        <w:t xml:space="preserve">Medium-term (During Season)</w:t>
      </w:r>
    </w:p>
    <w:p>
      <w:pPr>
        <w:pStyle w:val="ListParagraph"/>
        <w:numPr>
          <w:ilvl w:val="0"/>
          <w:numId w:val="2"/>
        </w:numPr>
      </w:pPr>
      <w:r>
        <w:rPr>
          <w:color w:val="444444"/>
          <w:sz w:val="22"/>
          <w:szCs w:val="22"/>
        </w:rPr>
        <w:t xml:space="preserve">Launch a faculty recruitment drive — target at least 2 new hires in FA_AF and Literature</w:t>
      </w:r>
    </w:p>
    <w:p>
      <w:pPr>
        <w:pStyle w:val="ListParagraph"/>
        <w:numPr>
          <w:ilvl w:val="0"/>
          <w:numId w:val="2"/>
        </w:numPr>
      </w:pPr>
      <w:r>
        <w:rPr>
          <w:color w:val="444444"/>
          <w:sz w:val="22"/>
          <w:szCs w:val="22"/>
        </w:rPr>
        <w:t xml:space="preserve">Redistribute Biology and Computer Science courses across sessions to balance academic load</w:t>
      </w:r>
    </w:p>
    <w:p>
      <w:pPr>
        <w:pStyle w:val="ListParagraph"/>
        <w:numPr>
          <w:ilvl w:val="0"/>
          <w:numId w:val="2"/>
        </w:numPr>
      </w:pPr>
      <w:r>
        <w:rPr>
          <w:color w:val="444444"/>
          <w:sz w:val="22"/>
          <w:szCs w:val="22"/>
        </w:rPr>
        <w:t xml:space="preserve">Review and adjust salary structure for FA_AF and FA_ST roles to remain competitive</w:t>
      </w:r>
    </w:p>
    <w:p>
      <w:pPr>
        <w:spacing w:before="100" w:after="100"/>
      </w:pPr>
      <w:r>
        <w:t xml:space="preserve"/>
      </w:r>
    </w:p>
    <w:p>
      <w:pPr>
        <w:spacing w:before="200" w:after="100"/>
      </w:pPr>
      <w:r>
        <w:rPr>
          <w:b/>
          <w:bCs/>
          <w:color w:val="333333"/>
          <w:sz w:val="24"/>
          <w:szCs w:val="24"/>
        </w:rPr>
        <w:t xml:space="preserve">Long-term (Strategic)</w:t>
      </w:r>
    </w:p>
    <w:p>
      <w:pPr>
        <w:pStyle w:val="ListParagraph"/>
        <w:numPr>
          <w:ilvl w:val="0"/>
          <w:numId w:val="2"/>
        </w:numPr>
      </w:pPr>
      <w:r>
        <w:rPr>
          <w:color w:val="444444"/>
          <w:sz w:val="22"/>
          <w:szCs w:val="22"/>
        </w:rPr>
        <w:t xml:space="preserve">Establish a 3-year faculty succession plan to avoid future hiring gaps</w:t>
      </w:r>
    </w:p>
    <w:p>
      <w:pPr>
        <w:pStyle w:val="ListParagraph"/>
        <w:numPr>
          <w:ilvl w:val="0"/>
          <w:numId w:val="2"/>
        </w:numPr>
      </w:pPr>
      <w:r>
        <w:rPr>
          <w:color w:val="444444"/>
          <w:sz w:val="22"/>
          <w:szCs w:val="22"/>
        </w:rPr>
        <w:t xml:space="preserve">Create a minimum course-per-department policy (at least 4 courses per department)</w:t>
      </w:r>
    </w:p>
    <w:p>
      <w:pPr>
        <w:pStyle w:val="ListParagraph"/>
        <w:numPr>
          <w:ilvl w:val="0"/>
          <w:numId w:val="2"/>
        </w:numPr>
      </w:pPr>
      <w:r>
        <w:rPr>
          <w:color w:val="444444"/>
          <w:sz w:val="22"/>
          <w:szCs w:val="22"/>
        </w:rPr>
        <w:t xml:space="preserve">Implement annual data quality audits to maintain the current high standard of data integrity</w:t>
      </w:r>
    </w:p>
    <w:p>
      <w:pPr>
        <w:spacing w:before="100" w:after="100"/>
      </w:pPr>
      <w:r>
        <w:t xml:space="preserve"/>
      </w:r>
    </w:p>
    <w:p>
      <w:pPr>
        <w:pStyle w:val="Heading1"/>
      </w:pPr>
      <w:r>
        <w:rPr>
          <w:b/>
          <w:bCs/>
          <w:color w:val="1F3864"/>
          <w:sz w:val="32"/>
          <w:szCs w:val="32"/>
        </w:rPr>
        <w:t xml:space="preserve">8. Conclusions</w:t>
      </w:r>
    </w:p>
    <w:p>
      <w:pPr>
        <w:pBdr>
          <w:bottom w:val="single" w:color="2D6A9F" w:sz="4" w:space="1"/>
        </w:pBdr>
        <w:spacing w:before="160" w:after="160"/>
      </w:pPr>
      <w:r>
        <w:t xml:space="preserve"/>
      </w:r>
    </w:p>
    <w:p>
      <w:pPr>
        <w:spacing w:before="80" w:after="80"/>
      </w:pPr>
      <w:r>
        <w:rPr>
          <w:color w:val="444444"/>
          <w:sz w:val="22"/>
          <w:szCs w:val="22"/>
        </w:rPr>
        <w:t xml:space="preserve">The Academic (AD) database is in excellent condition — zero NULLs and zero duplicates confirm strong data governance. The university is well-organized with clear session structures and department ownership.</w:t>
      </w:r>
    </w:p>
    <w:p>
      <w:pPr>
        <w:spacing w:before="100" w:after="100"/>
      </w:pPr>
      <w:r>
        <w:t xml:space="preserve"/>
      </w:r>
    </w:p>
    <w:p>
      <w:pPr>
        <w:spacing w:before="80" w:after="80"/>
      </w:pPr>
      <w:r>
        <w:rPr>
          <w:color w:val="444444"/>
          <w:sz w:val="22"/>
          <w:szCs w:val="22"/>
        </w:rPr>
        <w:t xml:space="preserve">However, three critical gaps must be addressed before the new academic season:</w:t>
      </w:r>
    </w:p>
    <w:p>
      <w:pPr>
        <w:pStyle w:val="ListParagraph"/>
        <w:numPr>
          <w:ilvl w:val="0"/>
          <w:numId w:val="2"/>
        </w:numPr>
      </w:pPr>
      <w:r>
        <w:rPr>
          <w:color w:val="444444"/>
          <w:sz w:val="22"/>
          <w:szCs w:val="22"/>
        </w:rPr>
        <w:t xml:space="preserve">The Literature department is the weakest academically and needs immediate course expansion</w:t>
      </w:r>
    </w:p>
    <w:p>
      <w:pPr>
        <w:pStyle w:val="ListParagraph"/>
        <w:numPr>
          <w:ilvl w:val="0"/>
          <w:numId w:val="2"/>
        </w:numPr>
      </w:pPr>
      <w:r>
        <w:rPr>
          <w:color w:val="444444"/>
          <w:sz w:val="22"/>
          <w:szCs w:val="22"/>
        </w:rPr>
        <w:t xml:space="preserve">Half of the faculty carry only 1 course, suggesting room for workload rebalancing without new hires</w:t>
      </w:r>
    </w:p>
    <w:p>
      <w:pPr>
        <w:pStyle w:val="ListParagraph"/>
        <w:numPr>
          <w:ilvl w:val="0"/>
          <w:numId w:val="2"/>
        </w:numPr>
      </w:pPr>
      <w:r>
        <w:rPr>
          <w:color w:val="444444"/>
          <w:sz w:val="22"/>
          <w:szCs w:val="22"/>
        </w:rPr>
        <w:t xml:space="preserve">The 10-year faculty hiring gap is the most urgent strategic risk facing the institution</w:t>
      </w:r>
    </w:p>
    <w:p>
      <w:pPr>
        <w:spacing w:before="100" w:after="100"/>
      </w:pPr>
      <w:r>
        <w:t xml:space="preserve"/>
      </w:r>
    </w:p>
    <w:p>
      <w:pPr>
        <w:spacing w:before="80" w:after="80"/>
      </w:pPr>
      <w:r>
        <w:rPr>
          <w:color w:val="444444"/>
          <w:sz w:val="22"/>
          <w:szCs w:val="22"/>
        </w:rPr>
        <w:t xml:space="preserve">Addressing these three areas — especially the hiring gap — will position the university to deliver a stronger, more resilient academic season and ensure long-term institutional health.</w:t>
      </w:r>
    </w:p>
    <w:p>
      <w:pPr>
        <w:spacing w:before="100" w:after="100"/>
      </w:pPr>
      <w:r>
        <w:t xml:space="preserve"/>
      </w:r>
    </w:p>
    <w:p>
      <w:pPr>
        <w:spacing w:before="100" w:after="100"/>
      </w:pPr>
      <w:r>
        <w:t xml:space="preserve"/>
      </w:r>
    </w:p>
    <w:p>
      <w:pPr>
        <w:jc w:val="center"/>
      </w:pPr>
      <w:r>
        <w:rPr>
          <w:i/>
          <w:iCs/>
          <w:color w:val="AAAAAA"/>
          <w:sz w:val="20"/>
          <w:szCs w:val="20"/>
        </w:rPr>
        <w:t xml:space="preserve">— End of Analysis Document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6A9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aa62288f671e1726ea895cc616da3639b89220f.png"/><Relationship Id="rId7" Type="http://schemas.openxmlformats.org/officeDocument/2006/relationships/image" Target="media/60e3cdb4859c647480dc295b9f97610642b6268f.png"/><Relationship Id="rId8" Type="http://schemas.openxmlformats.org/officeDocument/2006/relationships/image" Target="media/cb34fb95a1eb16fac3a2db6f3e1a96ff0eb7b1e9.png"/><Relationship Id="rId9" Type="http://schemas.openxmlformats.org/officeDocument/2006/relationships/image" Target="media/19f6e04df3172503097d726ebbe06d960d8ef0bf.png"/><Relationship Id="rId10" Type="http://schemas.openxmlformats.org/officeDocument/2006/relationships/image" Target="media/5ed198f8bf3a71e99e596920ce4a4833cf7a2575.png"/><Relationship Id="rId11" Type="http://schemas.openxmlformats.org/officeDocument/2006/relationships/image" Target="media/923fe9184727f56f2146b5fadd754b66b61df7f8.png"/><Relationship Id="rId12" Type="http://schemas.openxmlformats.org/officeDocument/2006/relationships/image" Target="media/d9f692f29f264ab4bceb4e6f0c24576b8be23646.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2026-03-19T04:15:22.244Z</dcterms:created>
  <dcterms:modified xsi:type="dcterms:W3CDTF">2026-03-19T04:15:22.245Z</dcterms:modified>
</cp:coreProperties>
</file>

<file path=docProps/custom.xml><?xml version="1.0" encoding="utf-8"?>
<Properties xmlns="http://schemas.openxmlformats.org/officeDocument/2006/custom-properties" xmlns:vt="http://schemas.openxmlformats.org/officeDocument/2006/docPropsVTypes"/>
</file>