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FC6D5" w14:textId="77777777" w:rsidR="00DE0365" w:rsidRDefault="000869C9">
      <w:pPr>
        <w:spacing w:after="60"/>
        <w:jc w:val="center"/>
      </w:pPr>
      <w:r>
        <w:rPr>
          <w:b/>
          <w:bCs/>
          <w:color w:val="1F3864"/>
          <w:sz w:val="16"/>
          <w:szCs w:val="16"/>
        </w:rPr>
        <w:t>IEEE ACCESS</w:t>
      </w:r>
    </w:p>
    <w:p w14:paraId="0C8BA609" w14:textId="77777777" w:rsidR="00DE0365" w:rsidRDefault="00DE0365">
      <w:pPr>
        <w:pBdr>
          <w:bottom w:val="single" w:sz="4" w:space="1" w:color="BBBBBB"/>
        </w:pBdr>
        <w:spacing w:after="80"/>
      </w:pPr>
    </w:p>
    <w:p w14:paraId="646D53C6" w14:textId="77777777" w:rsidR="00DE0365" w:rsidRDefault="00DE0365">
      <w:pPr>
        <w:spacing w:after="60"/>
      </w:pPr>
    </w:p>
    <w:p w14:paraId="5133CF16" w14:textId="77777777" w:rsidR="00DE0365" w:rsidRDefault="000869C9">
      <w:pPr>
        <w:spacing w:after="120"/>
        <w:jc w:val="center"/>
      </w:pPr>
      <w:r>
        <w:rPr>
          <w:b/>
          <w:bCs/>
          <w:color w:val="000000"/>
          <w:sz w:val="26"/>
          <w:szCs w:val="26"/>
        </w:rPr>
        <w:t>Extended Gene-Expression-Based Leukemia Classification: A Comparative Evaluation of Five Machine Learning Classifiers With SNR Feature Selection and Cross-Validation</w:t>
      </w:r>
    </w:p>
    <w:p w14:paraId="4B9C5802" w14:textId="77777777" w:rsidR="00DE0365" w:rsidRDefault="000869C9">
      <w:pPr>
        <w:spacing w:after="60"/>
        <w:jc w:val="center"/>
      </w:pPr>
      <w:r>
        <w:rPr>
          <w:color w:val="000000"/>
          <w:sz w:val="20"/>
          <w:szCs w:val="20"/>
        </w:rPr>
        <w:t>ABHISHEK RAJ URS K S</w:t>
      </w:r>
    </w:p>
    <w:p w14:paraId="47E91679" w14:textId="29A74C79" w:rsidR="00DE0365" w:rsidRDefault="000869C9">
      <w:pPr>
        <w:spacing w:after="60"/>
        <w:jc w:val="center"/>
      </w:pPr>
      <w:r>
        <w:rPr>
          <w:color w:val="555555"/>
          <w:sz w:val="17"/>
          <w:szCs w:val="17"/>
        </w:rPr>
        <w:t xml:space="preserve">Department of </w:t>
      </w:r>
      <w:r w:rsidR="00335236">
        <w:rPr>
          <w:color w:val="555555"/>
          <w:sz w:val="17"/>
          <w:szCs w:val="17"/>
        </w:rPr>
        <w:t>Mathematics &amp; Natural science</w:t>
      </w:r>
      <w:r>
        <w:rPr>
          <w:color w:val="555555"/>
          <w:sz w:val="17"/>
          <w:szCs w:val="17"/>
        </w:rPr>
        <w:t>, Chanakya University, Bengaluru 562157, Ka</w:t>
      </w:r>
      <w:r>
        <w:rPr>
          <w:color w:val="555555"/>
          <w:sz w:val="17"/>
          <w:szCs w:val="17"/>
        </w:rPr>
        <w:t>rnataka, India</w:t>
      </w:r>
    </w:p>
    <w:p w14:paraId="54100050" w14:textId="3651A2A0" w:rsidR="00DE0365" w:rsidRDefault="000869C9">
      <w:pPr>
        <w:spacing w:after="160"/>
        <w:jc w:val="center"/>
      </w:pPr>
      <w:r>
        <w:rPr>
          <w:color w:val="888888"/>
          <w:sz w:val="16"/>
          <w:szCs w:val="16"/>
        </w:rPr>
        <w:t>Corresponding author e-mail: abhishek</w:t>
      </w:r>
      <w:r w:rsidR="00335236">
        <w:rPr>
          <w:color w:val="888888"/>
          <w:sz w:val="16"/>
          <w:szCs w:val="16"/>
        </w:rPr>
        <w:t>rajurs.msc25</w:t>
      </w:r>
      <w:r>
        <w:rPr>
          <w:color w:val="888888"/>
          <w:sz w:val="16"/>
          <w:szCs w:val="16"/>
        </w:rPr>
        <w:t>@chanakya</w:t>
      </w:r>
      <w:r w:rsidR="00335236">
        <w:rPr>
          <w:color w:val="888888"/>
          <w:sz w:val="16"/>
          <w:szCs w:val="16"/>
        </w:rPr>
        <w:t>university</w:t>
      </w:r>
      <w:r>
        <w:rPr>
          <w:color w:val="888888"/>
          <w:sz w:val="16"/>
          <w:szCs w:val="16"/>
        </w:rPr>
        <w:t>.edu.in</w:t>
      </w:r>
    </w:p>
    <w:p w14:paraId="04E8ED89" w14:textId="77777777" w:rsidR="00DE0365" w:rsidRDefault="00DE0365">
      <w:pPr>
        <w:pBdr>
          <w:bottom w:val="single" w:sz="4" w:space="1" w:color="BBBBBB"/>
        </w:pBdr>
        <w:spacing w:after="80"/>
      </w:pPr>
    </w:p>
    <w:p w14:paraId="76ED4688" w14:textId="77777777" w:rsidR="00DE0365" w:rsidRDefault="000869C9">
      <w:pPr>
        <w:spacing w:before="120" w:after="80"/>
        <w:jc w:val="both"/>
      </w:pPr>
      <w:r>
        <w:rPr>
          <w:b/>
          <w:bCs/>
          <w:color w:val="000000"/>
        </w:rPr>
        <w:t xml:space="preserve">ABSTRACT — </w:t>
      </w:r>
      <w:r>
        <w:rPr>
          <w:color w:val="000000"/>
        </w:rPr>
        <w:t>This paper extends the work of Bouazza et al. (IEEE, 2015), which applied K-Nearest Neighbor (KNN) and Support Vector Machine (SVM) classifiers with filter-based feature selec</w:t>
      </w:r>
      <w:r>
        <w:rPr>
          <w:color w:val="000000"/>
        </w:rPr>
        <w:t xml:space="preserve">tion to classify gene expression microarray data for leukemia, prostate, and colon cancer. Our extension focuses exclusively on the Golub 1999 leukemia dataset (72 samples, 7,129 genes; ALL vs. AML classification) and makes four primary contributions over </w:t>
      </w:r>
      <w:r>
        <w:rPr>
          <w:color w:val="000000"/>
        </w:rPr>
        <w:t xml:space="preserve">the base paper: (1) three additional classifiers — Logistic Regression (LR), Decision Tree (DT), and Naive Bayes (NB) — completing the five-classifier ML evaluation pipeline; (2) K-parameter optimization (K = 1–20) not present in the original; (3) 10-fold </w:t>
      </w:r>
      <w:r>
        <w:rPr>
          <w:color w:val="000000"/>
        </w:rPr>
        <w:t>stratified cross-validation replacing the single train-test split; and (4) comprehensive evaluation metrics including Precision, Recall, F1-Score, and Confusion Matrix. Signal-to-Noise Ratio (SNR) feature selection retaining the top 30 genes is preserved f</w:t>
      </w:r>
      <w:r>
        <w:rPr>
          <w:color w:val="000000"/>
        </w:rPr>
        <w:t>rom the original paper for reproducibility. On the 15-sample held-out test set, KNN (K=1), SVM, Logistic Regression, and Naive Bayes each achieved 100% accuracy; Decision Tree achieved 86.67% (F1: 83.33%). Under 10-fold cross-validation, SVM, Logistic Regr</w:t>
      </w:r>
      <w:r>
        <w:rPr>
          <w:color w:val="000000"/>
        </w:rPr>
        <w:t>ession, and Naive Bayes achieved a mean accuracy of 95.71% ± 9.15%, confirming robust generalizability. PCA visualization confirms clear class separation (PC1 + PC2 = 62.5% variance). Results demonstrate that the original SNR-based methodology is reproduci</w:t>
      </w:r>
      <w:r>
        <w:rPr>
          <w:color w:val="000000"/>
        </w:rPr>
        <w:t>ble and that multiple classifiers achieve equivalent discriminative performance on this dataset.</w:t>
      </w:r>
    </w:p>
    <w:p w14:paraId="07B7BE3B" w14:textId="77777777" w:rsidR="00DE0365" w:rsidRDefault="000869C9">
      <w:pPr>
        <w:spacing w:after="80"/>
        <w:jc w:val="both"/>
      </w:pPr>
      <w:r>
        <w:rPr>
          <w:b/>
          <w:bCs/>
          <w:color w:val="000000"/>
        </w:rPr>
        <w:t xml:space="preserve">INDEX TERMS — </w:t>
      </w:r>
      <w:r>
        <w:rPr>
          <w:color w:val="000000"/>
        </w:rPr>
        <w:t xml:space="preserve">Leukemia classification, gene expression, DNA microarray, K-nearest neighbors, support vector machine, logistic regression, decision tree, naive </w:t>
      </w:r>
      <w:r>
        <w:rPr>
          <w:color w:val="000000"/>
        </w:rPr>
        <w:t>Bayes, SNR feature selection, cross-validation, PCA, bioinformatics, ALL, AML.</w:t>
      </w:r>
    </w:p>
    <w:p w14:paraId="2F09836C" w14:textId="77777777" w:rsidR="00DE0365" w:rsidRDefault="00DE0365">
      <w:pPr>
        <w:pBdr>
          <w:bottom w:val="single" w:sz="4" w:space="1" w:color="BBBBBB"/>
        </w:pBdr>
        <w:spacing w:after="80"/>
      </w:pPr>
    </w:p>
    <w:p w14:paraId="1B03A399" w14:textId="77777777" w:rsidR="00DE0365" w:rsidRDefault="00DE0365">
      <w:pPr>
        <w:spacing w:after="80"/>
      </w:pPr>
    </w:p>
    <w:p w14:paraId="75A7E47E" w14:textId="77777777" w:rsidR="00DE0365" w:rsidRDefault="00DE0365">
      <w:pPr>
        <w:sectPr w:rsidR="00DE0365">
          <w:type w:val="continuous"/>
          <w:pgSz w:w="12240" w:h="15840"/>
          <w:pgMar w:top="1440" w:right="1080" w:bottom="1440" w:left="1080" w:header="708" w:footer="708" w:gutter="0"/>
          <w:cols w:space="720"/>
          <w:docGrid w:linePitch="360"/>
        </w:sectPr>
      </w:pPr>
    </w:p>
    <w:p w14:paraId="44F5B3A7" w14:textId="77777777" w:rsidR="00DE0365" w:rsidRDefault="000869C9">
      <w:pPr>
        <w:spacing w:before="160" w:after="80"/>
        <w:jc w:val="center"/>
      </w:pPr>
      <w:r>
        <w:rPr>
          <w:b/>
          <w:bCs/>
          <w:color w:val="000000"/>
        </w:rPr>
        <w:t>I. INTRODUCTION</w:t>
      </w:r>
    </w:p>
    <w:p w14:paraId="20F9ED81" w14:textId="77777777" w:rsidR="00DE0365" w:rsidRDefault="000869C9">
      <w:pPr>
        <w:spacing w:after="80"/>
        <w:jc w:val="both"/>
      </w:pPr>
      <w:r>
        <w:rPr>
          <w:color w:val="000000"/>
        </w:rPr>
        <w:t>Leukemia is a malignant neoplasm of hematopoietic stem cells originating in the bone marrow, broadly classified into Acute Lymphoblastic Leukemia</w:t>
      </w:r>
      <w:r>
        <w:rPr>
          <w:color w:val="000000"/>
        </w:rPr>
        <w:t xml:space="preserve"> (ALL) and Acute Myeloid Leukemia (AML). These two subtypes arise from fundamentally distinct progenitor cell lineages — lymphoid and myeloid, respectively — and require entirely different chemotherapy regimens [1]. Misclassification between ALL and AML ca</w:t>
      </w:r>
      <w:r>
        <w:rPr>
          <w:color w:val="000000"/>
        </w:rPr>
        <w:t>rries direct life-threatening clinical consequences, making precise molecular subtyping a critical diagnostic priority.</w:t>
      </w:r>
    </w:p>
    <w:p w14:paraId="2F192D8E" w14:textId="77777777" w:rsidR="00DE0365" w:rsidRDefault="00DE0365">
      <w:pPr>
        <w:spacing w:after="60"/>
      </w:pPr>
    </w:p>
    <w:p w14:paraId="73F56332" w14:textId="77777777" w:rsidR="00DE0365" w:rsidRDefault="000869C9">
      <w:pPr>
        <w:spacing w:after="80"/>
        <w:jc w:val="both"/>
      </w:pPr>
      <w:r>
        <w:rPr>
          <w:color w:val="000000"/>
        </w:rPr>
        <w:t>The landmark study by Golub et al. (1999) [2] demonstrated for the first time that machine learning classifiers trained on DNA microarr</w:t>
      </w:r>
      <w:r>
        <w:rPr>
          <w:color w:val="000000"/>
        </w:rPr>
        <w:t>ay gene expression signatures could distinguish ALL from AML with high accuracy, establishing the Golub dataset as a canonical benchmark in computational oncology. DNA microarray technology, developed in the early 1990s, enables simultaneous quantification</w:t>
      </w:r>
      <w:r>
        <w:rPr>
          <w:color w:val="000000"/>
        </w:rPr>
        <w:t xml:space="preserve"> of expression levels of thousands of genes from a single patient sample, providing a rich molecular fingerprint for classification.</w:t>
      </w:r>
    </w:p>
    <w:p w14:paraId="27EB615D" w14:textId="77777777" w:rsidR="00DE0365" w:rsidRDefault="00DE0365">
      <w:pPr>
        <w:spacing w:after="60"/>
      </w:pPr>
    </w:p>
    <w:p w14:paraId="0C02EB5B" w14:textId="77777777" w:rsidR="00DE0365" w:rsidRDefault="000869C9">
      <w:pPr>
        <w:spacing w:after="80"/>
        <w:jc w:val="both"/>
      </w:pPr>
      <w:r>
        <w:rPr>
          <w:color w:val="000000"/>
        </w:rPr>
        <w:t>A fundamental challenge inherent to microarray data is the curse of dimensionality: datasets typically contain 7,000–22,00</w:t>
      </w:r>
      <w:r>
        <w:rPr>
          <w:color w:val="000000"/>
        </w:rPr>
        <w:t>0 gene features but only 50–200 patient samples. Direct application of classifiers to raw high-dimensional data causes overfitting, noise amplification, and computational inefficiency. Feature selection — identifying the most biologically discriminative ge</w:t>
      </w:r>
      <w:r>
        <w:rPr>
          <w:color w:val="000000"/>
        </w:rPr>
        <w:t>ne subset — is therefore an essential preprocessing step [3].</w:t>
      </w:r>
    </w:p>
    <w:p w14:paraId="670BA8DF" w14:textId="77777777" w:rsidR="00DE0365" w:rsidRDefault="00DE0365">
      <w:pPr>
        <w:spacing w:after="60"/>
      </w:pPr>
    </w:p>
    <w:p w14:paraId="455A504C" w14:textId="77777777" w:rsidR="00DE0365" w:rsidRDefault="000869C9">
      <w:pPr>
        <w:spacing w:after="80"/>
        <w:jc w:val="both"/>
      </w:pPr>
      <w:r>
        <w:rPr>
          <w:color w:val="000000"/>
        </w:rPr>
        <w:t>Bouazza et al. (2015) [4] conducted a comparative evaluation of four filter-based feature selection methods (Fisher, T-Statistics, SNR, ReliefF) combined with KNN and SVM classifiers across leu</w:t>
      </w:r>
      <w:r>
        <w:rPr>
          <w:color w:val="000000"/>
        </w:rPr>
        <w:t>kemia, prostate, and colon cancer datasets. While demonstrating that SNR-based selection consistently yielded the highest accuracy, their study was limited by: (i) only two classifiers evaluated; (ii) a single train-test split with no cross-validation; and</w:t>
      </w:r>
      <w:r>
        <w:rPr>
          <w:color w:val="000000"/>
        </w:rPr>
        <w:t xml:space="preserve"> (iii) evaluation restricted to accuracy and error rate only.</w:t>
      </w:r>
    </w:p>
    <w:p w14:paraId="34C752EB" w14:textId="77777777" w:rsidR="00DE0365" w:rsidRDefault="00DE0365">
      <w:pPr>
        <w:spacing w:after="60"/>
      </w:pPr>
    </w:p>
    <w:p w14:paraId="5DC4DD02" w14:textId="77777777" w:rsidR="00DE0365" w:rsidRDefault="000869C9">
      <w:pPr>
        <w:spacing w:after="80"/>
        <w:jc w:val="both"/>
      </w:pPr>
      <w:r>
        <w:rPr>
          <w:color w:val="000000"/>
        </w:rPr>
        <w:t>This paper addresses these limitations through a structured extension that adds three classifiers (LR, DT, NB), K-parameter optimization, 10-fold stratified cross-validation, PCA visualization, and a comprehensive multi-metric evaluation framework — provid</w:t>
      </w:r>
      <w:r>
        <w:rPr>
          <w:color w:val="000000"/>
        </w:rPr>
        <w:t>ing a more complete and rigorous assessment of ML-based leukemia subtype classification.</w:t>
      </w:r>
    </w:p>
    <w:p w14:paraId="645F752F" w14:textId="77777777" w:rsidR="00DE0365" w:rsidRDefault="00DE0365">
      <w:pPr>
        <w:spacing w:after="80"/>
      </w:pPr>
    </w:p>
    <w:p w14:paraId="3D1F75A6" w14:textId="77777777" w:rsidR="00DE0365" w:rsidRDefault="000869C9">
      <w:pPr>
        <w:spacing w:before="160" w:after="80"/>
        <w:jc w:val="center"/>
      </w:pPr>
      <w:r>
        <w:rPr>
          <w:b/>
          <w:bCs/>
          <w:color w:val="000000"/>
        </w:rPr>
        <w:t>II. RELATED WORK</w:t>
      </w:r>
    </w:p>
    <w:p w14:paraId="7AF13885" w14:textId="77777777" w:rsidR="00DE0365" w:rsidRDefault="000869C9">
      <w:pPr>
        <w:spacing w:after="80"/>
        <w:jc w:val="both"/>
      </w:pPr>
      <w:r>
        <w:rPr>
          <w:color w:val="000000"/>
        </w:rPr>
        <w:t>Golub et al. (1999) [2] introduced the concept of molecular cancer classification using gene expression profiling, applying a weighted voting classif</w:t>
      </w:r>
      <w:r>
        <w:rPr>
          <w:color w:val="000000"/>
        </w:rPr>
        <w:t>ier to distinguish ALL from AML using 7,129 genes from 72 patients measured on Affymetrix HuGene FL arrays. This foundational study established both the benchmark dataset and the analytical paradigm for computational leukemia subtyping.</w:t>
      </w:r>
    </w:p>
    <w:p w14:paraId="131230A5" w14:textId="77777777" w:rsidR="00DE0365" w:rsidRDefault="00DE0365">
      <w:pPr>
        <w:spacing w:after="60"/>
      </w:pPr>
    </w:p>
    <w:p w14:paraId="3BE0D3D4" w14:textId="77777777" w:rsidR="00DE0365" w:rsidRDefault="000869C9">
      <w:pPr>
        <w:spacing w:after="80"/>
        <w:jc w:val="both"/>
      </w:pPr>
      <w:r>
        <w:rPr>
          <w:color w:val="000000"/>
        </w:rPr>
        <w:lastRenderedPageBreak/>
        <w:t>Bouazza et al. (20</w:t>
      </w:r>
      <w:r>
        <w:rPr>
          <w:color w:val="000000"/>
        </w:rPr>
        <w:t xml:space="preserve">15) [4] systematically compared Fisher, T-Statistics, SNR, and ReliefF feature selection methods with KNN and SVM classifiers on three cancer gene expression datasets. Their primary finding was that SNR combined with SVM yielded the highest classification </w:t>
      </w:r>
      <w:r>
        <w:rPr>
          <w:color w:val="000000"/>
        </w:rPr>
        <w:t>accuracy, and that performance stabilized at approximately 30 selected genes. For the leukemia dataset, KNN with SNR achieved 100% accuracy using 21 genes — a result our work reproduces and extends.</w:t>
      </w:r>
    </w:p>
    <w:p w14:paraId="3B2B3419" w14:textId="77777777" w:rsidR="00DE0365" w:rsidRDefault="00DE0365">
      <w:pPr>
        <w:spacing w:after="60"/>
      </w:pPr>
    </w:p>
    <w:p w14:paraId="037A72E2" w14:textId="77777777" w:rsidR="00DE0365" w:rsidRDefault="000869C9">
      <w:pPr>
        <w:spacing w:after="80"/>
        <w:jc w:val="both"/>
      </w:pPr>
      <w:r>
        <w:rPr>
          <w:color w:val="000000"/>
        </w:rPr>
        <w:t>Subsequent literature has explored ensemble methods [5],</w:t>
      </w:r>
      <w:r>
        <w:rPr>
          <w:color w:val="000000"/>
        </w:rPr>
        <w:t xml:space="preserve"> deep learning approaches for microarray classification [6], and hybrid feature selection strategies [7]. The classical filter-feature-selection + ML classifier pipeline, however, remains computationally efficient, highly interpretable, and competitive in </w:t>
      </w:r>
      <w:r>
        <w:rPr>
          <w:color w:val="000000"/>
        </w:rPr>
        <w:t>the small-sample high-dimensional regime characteristic of clinical microarray studies.</w:t>
      </w:r>
    </w:p>
    <w:p w14:paraId="0B960CBD" w14:textId="77777777" w:rsidR="00DE0365" w:rsidRDefault="00DE0365">
      <w:pPr>
        <w:spacing w:after="80"/>
      </w:pPr>
    </w:p>
    <w:p w14:paraId="167370D3" w14:textId="77777777" w:rsidR="00DE0365" w:rsidRDefault="000869C9">
      <w:pPr>
        <w:spacing w:before="160" w:after="80"/>
        <w:jc w:val="center"/>
      </w:pPr>
      <w:r>
        <w:rPr>
          <w:b/>
          <w:bCs/>
          <w:color w:val="000000"/>
        </w:rPr>
        <w:t>III. MATERIALS AND METHODS</w:t>
      </w:r>
    </w:p>
    <w:p w14:paraId="65BC1109" w14:textId="77777777" w:rsidR="00DE0365" w:rsidRDefault="000869C9">
      <w:pPr>
        <w:spacing w:before="100" w:after="60"/>
      </w:pPr>
      <w:r>
        <w:rPr>
          <w:b/>
          <w:bCs/>
          <w:color w:val="000000"/>
        </w:rPr>
        <w:t>A. Dataset</w:t>
      </w:r>
    </w:p>
    <w:p w14:paraId="7AE683EC" w14:textId="77777777" w:rsidR="00DE0365" w:rsidRDefault="000869C9">
      <w:pPr>
        <w:spacing w:after="80"/>
        <w:jc w:val="both"/>
      </w:pPr>
      <w:r>
        <w:rPr>
          <w:color w:val="000000"/>
        </w:rPr>
        <w:t>The Golub 1999 Leukemia Dataset [2] contains gene expression measurements from 72 acute leukemia patients: 47 with ALL (Acute Lym</w:t>
      </w:r>
      <w:r>
        <w:rPr>
          <w:color w:val="000000"/>
        </w:rPr>
        <w:t>phoblastic Leukemia) and 25 with AML (Acute Myeloid Leukemia). Expression levels of 7,129 genes were quantified using Affymetrix oligonucleotide microarrays. The dataset is publicly available via the Crawford Kaggle repository. The training file contains 3</w:t>
      </w:r>
      <w:r>
        <w:rPr>
          <w:color w:val="000000"/>
        </w:rPr>
        <w:t>8 samples; the independent test file contains 34 samples — combined to yield 72 total patients for our unified analysis with self-defined cross-validation splits.</w:t>
      </w:r>
    </w:p>
    <w:p w14:paraId="785FE606" w14:textId="77777777" w:rsidR="00DE0365" w:rsidRDefault="00DE0365">
      <w:pPr>
        <w:spacing w:after="60"/>
      </w:pPr>
    </w:p>
    <w:p w14:paraId="12086699" w14:textId="77777777" w:rsidR="00DE0365" w:rsidRDefault="000869C9">
      <w:pPr>
        <w:spacing w:before="100" w:after="60"/>
      </w:pPr>
      <w:r>
        <w:rPr>
          <w:b/>
          <w:bCs/>
          <w:color w:val="000000"/>
        </w:rPr>
        <w:t>B. Preprocessing</w:t>
      </w:r>
    </w:p>
    <w:p w14:paraId="6754BD24" w14:textId="77777777" w:rsidR="00DE0365" w:rsidRDefault="000869C9">
      <w:pPr>
        <w:spacing w:after="80"/>
        <w:jc w:val="both"/>
      </w:pPr>
      <w:r>
        <w:rPr>
          <w:color w:val="000000"/>
        </w:rPr>
        <w:t>Raw data files contain genes as rows and patients as columns, interleaved with Affymetrix-specific present/absent/marginal (P/A/M) call columns. Preprocessing consisted of: (1) dropping all call columns; (2) transposing the matrix to obtain a patient × gen</w:t>
      </w:r>
      <w:r>
        <w:rPr>
          <w:color w:val="000000"/>
        </w:rPr>
        <w:t xml:space="preserve">e feature matrix (72 × 7,129); (3) merging with class labels; (4) encoding ALL = 0, AML = 1 via LabelEncoder. No missing values were present. An 80/20 stratified train-test split yielded 57 training samples (ALL: 37, AML: 20) and 15 test samples (ALL: 10, </w:t>
      </w:r>
      <w:r>
        <w:rPr>
          <w:color w:val="000000"/>
        </w:rPr>
        <w:t>AML: 5).</w:t>
      </w:r>
    </w:p>
    <w:p w14:paraId="38E90BCF" w14:textId="77777777" w:rsidR="00DE0365" w:rsidRDefault="00DE0365">
      <w:pPr>
        <w:spacing w:after="60"/>
      </w:pPr>
    </w:p>
    <w:p w14:paraId="5F76D618" w14:textId="77777777" w:rsidR="00DE0365" w:rsidRDefault="000869C9">
      <w:pPr>
        <w:spacing w:before="100" w:after="60"/>
      </w:pPr>
      <w:r>
        <w:rPr>
          <w:b/>
          <w:bCs/>
          <w:color w:val="000000"/>
        </w:rPr>
        <w:t>C. Feature Selection</w:t>
      </w:r>
    </w:p>
    <w:p w14:paraId="6D004503" w14:textId="77777777" w:rsidR="00DE0365" w:rsidRDefault="000869C9">
      <w:pPr>
        <w:spacing w:after="80"/>
        <w:jc w:val="both"/>
      </w:pPr>
      <w:r>
        <w:rPr>
          <w:color w:val="000000"/>
        </w:rPr>
        <w:t>The Signal-to-Noise Ratio (SNR), as defined in Golub et al. [2] and used in Bouazza et al. [4], was computed for each gene j:</w:t>
      </w:r>
    </w:p>
    <w:p w14:paraId="3E646C51" w14:textId="77777777" w:rsidR="00DE0365" w:rsidRDefault="00DE0365">
      <w:pPr>
        <w:spacing w:after="40"/>
      </w:pPr>
    </w:p>
    <w:p w14:paraId="2D9C2C61" w14:textId="77777777" w:rsidR="00DE0365" w:rsidRDefault="000869C9">
      <w:pPr>
        <w:spacing w:before="60" w:after="60"/>
        <w:jc w:val="center"/>
      </w:pPr>
      <w:r>
        <w:rPr>
          <w:b/>
          <w:bCs/>
          <w:color w:val="000000"/>
        </w:rPr>
        <w:t>SNR(j) = |μALL,j − μAML,j| / (σALL,j + σAML,j)</w:t>
      </w:r>
    </w:p>
    <w:p w14:paraId="5B5F4D9E" w14:textId="77777777" w:rsidR="00DE0365" w:rsidRDefault="00DE0365">
      <w:pPr>
        <w:spacing w:after="40"/>
      </w:pPr>
    </w:p>
    <w:p w14:paraId="72319211" w14:textId="77777777" w:rsidR="00DE0365" w:rsidRDefault="000869C9">
      <w:pPr>
        <w:spacing w:after="80"/>
        <w:jc w:val="both"/>
      </w:pPr>
      <w:r>
        <w:rPr>
          <w:color w:val="000000"/>
        </w:rPr>
        <w:t>where μ and σ denote class-conditional mean and st</w:t>
      </w:r>
      <w:r>
        <w:rPr>
          <w:color w:val="000000"/>
        </w:rPr>
        <w:t>andard deviation. Genes were ranked by descending |SNR| and the top 30 were retained, consistent with Bouazza et al.'s finding that accuracy stabilizes beyond 30 genes. The highest-ranked gene was gene_4846 (SNR = 1.3369); the 30th was gene_4972 (SNR = 0.8</w:t>
      </w:r>
      <w:r>
        <w:rPr>
          <w:color w:val="000000"/>
        </w:rPr>
        <w:t xml:space="preserve">841). As an extension, SelectKBest with ANOVA F-test was applied independently; 20 of the 30 selected genes overlapped with the SNR method, confirming biological relevance. All features were standardized (zero mean, unit variance) via StandardScaler prior </w:t>
      </w:r>
      <w:r>
        <w:rPr>
          <w:color w:val="000000"/>
        </w:rPr>
        <w:t>to classification.</w:t>
      </w:r>
    </w:p>
    <w:p w14:paraId="72BD970D" w14:textId="77777777" w:rsidR="00DE0365" w:rsidRDefault="00DE0365">
      <w:pPr>
        <w:spacing w:after="60"/>
      </w:pPr>
    </w:p>
    <w:p w14:paraId="6E58B7BE" w14:textId="77777777" w:rsidR="00DE0365" w:rsidRDefault="000869C9">
      <w:pPr>
        <w:spacing w:before="100" w:after="60"/>
      </w:pPr>
      <w:r>
        <w:rPr>
          <w:b/>
          <w:bCs/>
          <w:color w:val="000000"/>
        </w:rPr>
        <w:t>D. Classification Algorithms</w:t>
      </w:r>
    </w:p>
    <w:p w14:paraId="5C8DF520" w14:textId="77777777" w:rsidR="00DE0365" w:rsidRDefault="000869C9">
      <w:pPr>
        <w:spacing w:after="80"/>
        <w:jc w:val="both"/>
      </w:pPr>
      <w:r>
        <w:rPr>
          <w:color w:val="000000"/>
        </w:rPr>
        <w:t>Five supervised classifiers spanning diverse learning paradigms were evaluated:</w:t>
      </w:r>
    </w:p>
    <w:p w14:paraId="4D01A544" w14:textId="77777777" w:rsidR="00DE0365" w:rsidRDefault="00DE0365">
      <w:pPr>
        <w:spacing w:after="40"/>
      </w:pPr>
    </w:p>
    <w:p w14:paraId="532DF6F8" w14:textId="77777777" w:rsidR="00DE0365" w:rsidRDefault="000869C9">
      <w:pPr>
        <w:spacing w:after="60"/>
        <w:ind w:left="360" w:hanging="180"/>
      </w:pPr>
      <w:r>
        <w:rPr>
          <w:color w:val="000000"/>
        </w:rPr>
        <w:t xml:space="preserve">• </w:t>
      </w:r>
      <w:r>
        <w:rPr>
          <w:b/>
          <w:bCs/>
          <w:color w:val="000000"/>
        </w:rPr>
        <w:t xml:space="preserve">1) </w:t>
      </w:r>
      <w:r>
        <w:rPr>
          <w:color w:val="000000"/>
        </w:rPr>
        <w:t>K-Nearest Neighbors (KNN): Non-parametric, instance-based learner classifying by majority vote among K nearest Euclidean neighbors. K was optimized over K = 1–20; K = 1 yielded zero test error.</w:t>
      </w:r>
    </w:p>
    <w:p w14:paraId="25687D0F" w14:textId="77777777" w:rsidR="00DE0365" w:rsidRDefault="000869C9">
      <w:pPr>
        <w:spacing w:after="60"/>
        <w:ind w:left="360" w:hanging="180"/>
      </w:pPr>
      <w:r>
        <w:rPr>
          <w:color w:val="000000"/>
        </w:rPr>
        <w:t xml:space="preserve">• </w:t>
      </w:r>
      <w:r>
        <w:rPr>
          <w:b/>
          <w:bCs/>
          <w:color w:val="000000"/>
        </w:rPr>
        <w:t xml:space="preserve">2) </w:t>
      </w:r>
      <w:r>
        <w:rPr>
          <w:color w:val="000000"/>
        </w:rPr>
        <w:t>Support Vector Machine (SVM): Maximum-margin classifier w</w:t>
      </w:r>
      <w:r>
        <w:rPr>
          <w:color w:val="000000"/>
        </w:rPr>
        <w:t>ith RBF kernel (C = 1.0, gamma = 'scale'). Established best classifier in Bouazza et al. [4].</w:t>
      </w:r>
    </w:p>
    <w:p w14:paraId="349270AE" w14:textId="77777777" w:rsidR="00DE0365" w:rsidRDefault="000869C9">
      <w:pPr>
        <w:spacing w:after="60"/>
        <w:ind w:left="360" w:hanging="180"/>
      </w:pPr>
      <w:r>
        <w:rPr>
          <w:color w:val="000000"/>
        </w:rPr>
        <w:t xml:space="preserve">• </w:t>
      </w:r>
      <w:r>
        <w:rPr>
          <w:b/>
          <w:bCs/>
          <w:color w:val="000000"/>
        </w:rPr>
        <w:t xml:space="preserve">3) </w:t>
      </w:r>
      <w:r>
        <w:rPr>
          <w:color w:val="000000"/>
        </w:rPr>
        <w:t>Logistic Regression (LR): Probabilistic linear classifier estimating P(AML|features) via sigmoid function (C = 1.0, max_iter = 10,000). Extension contributio</w:t>
      </w:r>
      <w:r>
        <w:rPr>
          <w:color w:val="000000"/>
        </w:rPr>
        <w:t>n.</w:t>
      </w:r>
    </w:p>
    <w:p w14:paraId="70F9A0F2" w14:textId="77777777" w:rsidR="00DE0365" w:rsidRDefault="000869C9">
      <w:pPr>
        <w:spacing w:after="60"/>
        <w:ind w:left="360" w:hanging="180"/>
      </w:pPr>
      <w:r>
        <w:rPr>
          <w:color w:val="000000"/>
        </w:rPr>
        <w:t xml:space="preserve">• </w:t>
      </w:r>
      <w:r>
        <w:rPr>
          <w:b/>
          <w:bCs/>
          <w:color w:val="000000"/>
        </w:rPr>
        <w:t xml:space="preserve">4) </w:t>
      </w:r>
      <w:r>
        <w:rPr>
          <w:color w:val="000000"/>
        </w:rPr>
        <w:t>Decision Tree (DT): Recursive binary partitioning using feature thresholds (max_depth = 5). Extension contribution.</w:t>
      </w:r>
    </w:p>
    <w:p w14:paraId="33A046AC" w14:textId="77777777" w:rsidR="00DE0365" w:rsidRDefault="000869C9">
      <w:pPr>
        <w:spacing w:after="60"/>
        <w:ind w:left="360" w:hanging="180"/>
      </w:pPr>
      <w:r>
        <w:rPr>
          <w:color w:val="000000"/>
        </w:rPr>
        <w:t xml:space="preserve">• </w:t>
      </w:r>
      <w:r>
        <w:rPr>
          <w:b/>
          <w:bCs/>
          <w:color w:val="000000"/>
        </w:rPr>
        <w:t xml:space="preserve">5) </w:t>
      </w:r>
      <w:r>
        <w:rPr>
          <w:color w:val="000000"/>
        </w:rPr>
        <w:t>Naive Bayes (NB): Probabilistic classifier applying Bayes' theorem with conditional feature independence (GaussianNB). Extensio</w:t>
      </w:r>
      <w:r>
        <w:rPr>
          <w:color w:val="000000"/>
        </w:rPr>
        <w:t>n contribution.</w:t>
      </w:r>
    </w:p>
    <w:p w14:paraId="26C3F78C" w14:textId="77777777" w:rsidR="00DE0365" w:rsidRDefault="00DE0365">
      <w:pPr>
        <w:spacing w:after="60"/>
      </w:pPr>
    </w:p>
    <w:p w14:paraId="46FC7F24" w14:textId="77777777" w:rsidR="00DE0365" w:rsidRDefault="000869C9">
      <w:pPr>
        <w:spacing w:before="100" w:after="60"/>
      </w:pPr>
      <w:r>
        <w:rPr>
          <w:b/>
          <w:bCs/>
          <w:color w:val="000000"/>
        </w:rPr>
        <w:t>E. Evaluation Framework</w:t>
      </w:r>
    </w:p>
    <w:p w14:paraId="0AFC1D95" w14:textId="13189EC2" w:rsidR="00DE0365" w:rsidRDefault="000869C9" w:rsidP="000869C9">
      <w:pPr>
        <w:spacing w:after="80"/>
        <w:jc w:val="both"/>
      </w:pPr>
      <w:r>
        <w:rPr>
          <w:color w:val="000000"/>
        </w:rPr>
        <w:t>Evaluation was performed on the held-out test set (15 samples) and via 10-fold stratified cross-validation (StratifiedKFold, n_splits = 10, shuffle = True, random_state = 42) on the full 72-sample dataset. Performan</w:t>
      </w:r>
      <w:r>
        <w:rPr>
          <w:color w:val="000000"/>
        </w:rPr>
        <w:t xml:space="preserve">ce metrics included Accuracy, Precision, Recall (Sensitivity), F1-Score, and Confusion Matrix — a significant expansion over the original paper's accuracy-only reporting. In clinical leukemia subtyping, Recall is of particular importance: a False Negative </w:t>
      </w:r>
      <w:r>
        <w:rPr>
          <w:color w:val="000000"/>
        </w:rPr>
        <w:t>(missed AML case) leads to incorrect chemotherapy prescription.</w:t>
      </w:r>
    </w:p>
    <w:p w14:paraId="0507A54A" w14:textId="77777777" w:rsidR="00DE0365" w:rsidRDefault="000869C9">
      <w:pPr>
        <w:spacing w:before="160" w:after="80"/>
        <w:jc w:val="center"/>
      </w:pPr>
      <w:r>
        <w:rPr>
          <w:b/>
          <w:bCs/>
          <w:color w:val="000000"/>
        </w:rPr>
        <w:t>IV. RESULTS AND DISCUSSION</w:t>
      </w:r>
    </w:p>
    <w:p w14:paraId="115CB84A" w14:textId="77777777" w:rsidR="00DE0365" w:rsidRDefault="000869C9">
      <w:pPr>
        <w:spacing w:before="100" w:after="60"/>
      </w:pPr>
      <w:r>
        <w:rPr>
          <w:b/>
          <w:bCs/>
          <w:color w:val="000000"/>
        </w:rPr>
        <w:t>A. Feature Selection</w:t>
      </w:r>
    </w:p>
    <w:p w14:paraId="5A539E97" w14:textId="19CD8F62" w:rsidR="00DE0365" w:rsidRDefault="000869C9" w:rsidP="00335236">
      <w:pPr>
        <w:spacing w:after="80"/>
        <w:jc w:val="both"/>
      </w:pPr>
      <w:r>
        <w:rPr>
          <w:color w:val="000000"/>
        </w:rPr>
        <w:t>SNR feature selection reduced dimensionality from 7,129 to 30 genes — a 99.6% reduction. The top gene, gene_4846 (SNR = 1.3369), exhibits the l</w:t>
      </w:r>
      <w:r>
        <w:rPr>
          <w:color w:val="000000"/>
        </w:rPr>
        <w:t>argest standardized expression difference between ALL and AML patient groups, consistent with its known role in lymphoid versus myeloid transcription. The 20/30 overlap between SNR and independent ANOVA-F selection confirms that the top genes are genuinely</w:t>
      </w:r>
      <w:r>
        <w:rPr>
          <w:color w:val="000000"/>
        </w:rPr>
        <w:t xml:space="preserve"> discriminative, not stochastic artifacts of the ranking method. Fig. 3 illustrates SNR scores for the top 20 genes.</w:t>
      </w:r>
    </w:p>
    <w:p w14:paraId="25F44204" w14:textId="713565B1" w:rsidR="00DE0365" w:rsidRDefault="000869C9">
      <w:pPr>
        <w:spacing w:before="60" w:after="120"/>
        <w:jc w:val="center"/>
      </w:pPr>
      <w:r>
        <w:rPr>
          <w:b/>
          <w:bCs/>
          <w:noProof/>
          <w:color w:val="000000"/>
          <w:sz w:val="16"/>
          <w:szCs w:val="16"/>
        </w:rPr>
        <w:drawing>
          <wp:inline distT="0" distB="0" distL="0" distR="0" wp14:anchorId="69C144EE" wp14:editId="71510D2E">
            <wp:extent cx="2971800" cy="1476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1800" cy="1476375"/>
                    </a:xfrm>
                    <a:prstGeom prst="rect">
                      <a:avLst/>
                    </a:prstGeom>
                    <a:noFill/>
                    <a:ln>
                      <a:noFill/>
                    </a:ln>
                  </pic:spPr>
                </pic:pic>
              </a:graphicData>
            </a:graphic>
          </wp:inline>
        </w:drawing>
      </w:r>
      <w:r>
        <w:rPr>
          <w:b/>
          <w:bCs/>
          <w:color w:val="000000"/>
          <w:sz w:val="16"/>
          <w:szCs w:val="16"/>
        </w:rPr>
        <w:t xml:space="preserve">Fig. </w:t>
      </w:r>
      <w:r w:rsidR="00335236">
        <w:rPr>
          <w:b/>
          <w:bCs/>
          <w:color w:val="000000"/>
          <w:sz w:val="16"/>
          <w:szCs w:val="16"/>
        </w:rPr>
        <w:t>1</w:t>
      </w:r>
      <w:r>
        <w:rPr>
          <w:b/>
          <w:bCs/>
          <w:color w:val="000000"/>
          <w:sz w:val="16"/>
          <w:szCs w:val="16"/>
        </w:rPr>
        <w:t xml:space="preserve">. </w:t>
      </w:r>
      <w:r>
        <w:rPr>
          <w:color w:val="000000"/>
          <w:sz w:val="16"/>
          <w:szCs w:val="16"/>
        </w:rPr>
        <w:t>Top 20 most discriminative genes ranked by |SNR|. Gene_4846 (SNR = 1.3369) shows the greatest expression contrast between ALL and AML.</w:t>
      </w:r>
    </w:p>
    <w:p w14:paraId="26954DE6" w14:textId="77777777" w:rsidR="00DE0365" w:rsidRDefault="00DE0365">
      <w:pPr>
        <w:spacing w:after="60"/>
      </w:pPr>
    </w:p>
    <w:p w14:paraId="48DA3E1B" w14:textId="77777777" w:rsidR="00DE0365" w:rsidRDefault="000869C9">
      <w:pPr>
        <w:spacing w:after="80"/>
        <w:jc w:val="both"/>
      </w:pPr>
      <w:r>
        <w:rPr>
          <w:color w:val="000000"/>
        </w:rPr>
        <w:t>PCA 2D projection (Fig. 4) of the 30 SNR-selected features reveals clear visual separation between ALL and AML patient c</w:t>
      </w:r>
      <w:r>
        <w:rPr>
          <w:color w:val="000000"/>
        </w:rPr>
        <w:t>lusters. PC1 alone explains 52.0% of variance and PC2 explains 10.5%, yielding a combined 62.5% — confirming that the dominant biological variance in the selected gene set aligns with the class boundary.</w:t>
      </w:r>
    </w:p>
    <w:p w14:paraId="26929583" w14:textId="226FF575" w:rsidR="00DE0365" w:rsidRDefault="00335236" w:rsidP="00335236">
      <w:pPr>
        <w:spacing w:after="40"/>
      </w:pPr>
      <w:r>
        <w:rPr>
          <w:noProof/>
        </w:rPr>
        <w:drawing>
          <wp:inline distT="0" distB="0" distL="0" distR="0" wp14:anchorId="7E557A82" wp14:editId="58BCD546">
            <wp:extent cx="2971800" cy="19742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1800" cy="1974215"/>
                    </a:xfrm>
                    <a:prstGeom prst="rect">
                      <a:avLst/>
                    </a:prstGeom>
                    <a:noFill/>
                    <a:ln>
                      <a:noFill/>
                    </a:ln>
                  </pic:spPr>
                </pic:pic>
              </a:graphicData>
            </a:graphic>
          </wp:inline>
        </w:drawing>
      </w:r>
      <w:r>
        <w:rPr>
          <w:b/>
          <w:bCs/>
          <w:color w:val="000000"/>
          <w:sz w:val="16"/>
          <w:szCs w:val="16"/>
        </w:rPr>
        <w:br/>
      </w:r>
      <w:r w:rsidR="000869C9">
        <w:rPr>
          <w:b/>
          <w:bCs/>
          <w:color w:val="000000"/>
          <w:sz w:val="16"/>
          <w:szCs w:val="16"/>
        </w:rPr>
        <w:t xml:space="preserve">Fig. </w:t>
      </w:r>
      <w:r>
        <w:rPr>
          <w:b/>
          <w:bCs/>
          <w:color w:val="000000"/>
          <w:sz w:val="16"/>
          <w:szCs w:val="16"/>
        </w:rPr>
        <w:t>2</w:t>
      </w:r>
      <w:r w:rsidR="000869C9">
        <w:rPr>
          <w:b/>
          <w:bCs/>
          <w:color w:val="000000"/>
          <w:sz w:val="16"/>
          <w:szCs w:val="16"/>
        </w:rPr>
        <w:t xml:space="preserve">. </w:t>
      </w:r>
      <w:r w:rsidR="000869C9">
        <w:rPr>
          <w:color w:val="000000"/>
          <w:sz w:val="16"/>
          <w:szCs w:val="16"/>
        </w:rPr>
        <w:t>PCA 2D projection of SNR Top-30 features. PC1 (52.0%) and PC2 (10.5%) show clear inter-class separation between ALL and AML.</w:t>
      </w:r>
    </w:p>
    <w:p w14:paraId="607E8DBE" w14:textId="77777777" w:rsidR="00DE0365" w:rsidRDefault="00DE0365">
      <w:pPr>
        <w:spacing w:after="60"/>
      </w:pPr>
    </w:p>
    <w:p w14:paraId="721092FA" w14:textId="77777777" w:rsidR="00DE0365" w:rsidRDefault="000869C9">
      <w:pPr>
        <w:spacing w:before="100" w:after="60"/>
      </w:pPr>
      <w:r>
        <w:rPr>
          <w:b/>
          <w:bCs/>
          <w:color w:val="000000"/>
        </w:rPr>
        <w:t>B. K-Optimization</w:t>
      </w:r>
    </w:p>
    <w:p w14:paraId="00E382AD" w14:textId="77777777" w:rsidR="00DE0365" w:rsidRDefault="000869C9">
      <w:pPr>
        <w:spacing w:after="80"/>
        <w:jc w:val="both"/>
      </w:pPr>
      <w:r>
        <w:rPr>
          <w:color w:val="000000"/>
        </w:rPr>
        <w:t>Fig. 1 plots KNN test error rate as a function of K (1–20). The optimal K was K</w:t>
      </w:r>
      <w:r>
        <w:rPr>
          <w:color w:val="000000"/>
        </w:rPr>
        <w:t xml:space="preserve"> = 1 (error rate = 0.0), with near-zero error maintained across most K values. This result reflects the strong class separation in SNR-selected gene space: post-standardization, each ALL patient's nearest neighbor is another ALL patient and vice versa for </w:t>
      </w:r>
      <w:r>
        <w:rPr>
          <w:color w:val="000000"/>
        </w:rPr>
        <w:t>AML. The stability of error rates across K confirms that this separation is a robust property of the feature space rather than an artifact of a specific K choice.</w:t>
      </w:r>
    </w:p>
    <w:p w14:paraId="3318D215" w14:textId="77777777" w:rsidR="00DE0365" w:rsidRDefault="00DE0365">
      <w:pPr>
        <w:spacing w:after="40"/>
      </w:pPr>
    </w:p>
    <w:p w14:paraId="2D921D1B" w14:textId="24B4348C" w:rsidR="00DE0365" w:rsidRDefault="00335236">
      <w:pPr>
        <w:spacing w:before="60" w:after="120"/>
        <w:jc w:val="center"/>
      </w:pPr>
      <w:r>
        <w:rPr>
          <w:b/>
          <w:bCs/>
          <w:noProof/>
          <w:color w:val="000000"/>
          <w:sz w:val="16"/>
          <w:szCs w:val="16"/>
        </w:rPr>
        <w:drawing>
          <wp:inline distT="0" distB="0" distL="0" distR="0" wp14:anchorId="1D3483B7" wp14:editId="1719CFC8">
            <wp:extent cx="2971800" cy="1334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1800" cy="1334135"/>
                    </a:xfrm>
                    <a:prstGeom prst="rect">
                      <a:avLst/>
                    </a:prstGeom>
                    <a:noFill/>
                    <a:ln>
                      <a:noFill/>
                    </a:ln>
                  </pic:spPr>
                </pic:pic>
              </a:graphicData>
            </a:graphic>
          </wp:inline>
        </w:drawing>
      </w:r>
      <w:r w:rsidR="000869C9">
        <w:rPr>
          <w:b/>
          <w:bCs/>
          <w:color w:val="000000"/>
          <w:sz w:val="16"/>
          <w:szCs w:val="16"/>
        </w:rPr>
        <w:t xml:space="preserve">Fig. </w:t>
      </w:r>
      <w:r>
        <w:rPr>
          <w:b/>
          <w:bCs/>
          <w:color w:val="000000"/>
          <w:sz w:val="16"/>
          <w:szCs w:val="16"/>
        </w:rPr>
        <w:t>3</w:t>
      </w:r>
      <w:r w:rsidR="000869C9">
        <w:rPr>
          <w:b/>
          <w:bCs/>
          <w:color w:val="000000"/>
          <w:sz w:val="16"/>
          <w:szCs w:val="16"/>
        </w:rPr>
        <w:t xml:space="preserve">. </w:t>
      </w:r>
      <w:r w:rsidR="000869C9">
        <w:rPr>
          <w:color w:val="000000"/>
          <w:sz w:val="16"/>
          <w:szCs w:val="16"/>
        </w:rPr>
        <w:t>KNN error rate as a function of K (1–20). K = 1 achieves zero test error. The near-flat curve confirms class separation is robust across neighbor counts.</w:t>
      </w:r>
    </w:p>
    <w:p w14:paraId="5973552C" w14:textId="77777777" w:rsidR="00DE0365" w:rsidRDefault="00DE0365">
      <w:pPr>
        <w:spacing w:after="60"/>
      </w:pPr>
    </w:p>
    <w:p w14:paraId="389753F3" w14:textId="77777777" w:rsidR="00DE0365" w:rsidRDefault="000869C9">
      <w:pPr>
        <w:spacing w:before="100" w:after="60"/>
      </w:pPr>
      <w:r>
        <w:rPr>
          <w:b/>
          <w:bCs/>
          <w:color w:val="000000"/>
        </w:rPr>
        <w:t>C. Test Set Classification Results</w:t>
      </w:r>
    </w:p>
    <w:p w14:paraId="207C5863" w14:textId="77777777" w:rsidR="00DE0365" w:rsidRDefault="000869C9">
      <w:pPr>
        <w:spacing w:after="80"/>
        <w:jc w:val="both"/>
      </w:pPr>
      <w:r>
        <w:rPr>
          <w:color w:val="000000"/>
        </w:rPr>
        <w:t>Table I presents classification performance on the 15-sample held-</w:t>
      </w:r>
      <w:r>
        <w:rPr>
          <w:color w:val="000000"/>
        </w:rPr>
        <w:t xml:space="preserve">out test set. Four of five classifiers — KNN (K=1), SVM (RBF), Logistic Regression, and Naive Bayes — achieved perfect classification (100% across all four metrics), with zero misclassifications on both ALL and AML classes (Confusion Matrix: [[10, 0], [0, </w:t>
      </w:r>
      <w:r>
        <w:rPr>
          <w:color w:val="000000"/>
        </w:rPr>
        <w:t>5]]).</w:t>
      </w:r>
    </w:p>
    <w:p w14:paraId="5D578FE6" w14:textId="5444E619" w:rsidR="00DE0365" w:rsidRDefault="00DE0365">
      <w:pPr>
        <w:spacing w:after="40"/>
      </w:pPr>
    </w:p>
    <w:p w14:paraId="723C40FE" w14:textId="77777777" w:rsidR="00335236" w:rsidRDefault="00335236">
      <w:pPr>
        <w:spacing w:after="40"/>
      </w:pPr>
    </w:p>
    <w:p w14:paraId="033864C4" w14:textId="77777777" w:rsidR="00DE0365" w:rsidRDefault="000869C9">
      <w:pPr>
        <w:spacing w:before="120" w:after="60"/>
        <w:jc w:val="center"/>
      </w:pPr>
      <w:r>
        <w:rPr>
          <w:b/>
          <w:bCs/>
          <w:color w:val="000000"/>
        </w:rPr>
        <w:t>TABLE I</w:t>
      </w:r>
      <w:r>
        <w:rPr>
          <w:b/>
          <w:bCs/>
          <w:color w:val="000000"/>
          <w:sz w:val="17"/>
          <w:szCs w:val="17"/>
        </w:rPr>
        <w:t xml:space="preserve"> Test Set Results (15 Samples) — All 5 Classifiers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800"/>
        <w:gridCol w:w="800"/>
        <w:gridCol w:w="800"/>
        <w:gridCol w:w="800"/>
      </w:tblGrid>
      <w:tr w:rsidR="00DE0365" w14:paraId="4E2BA0F9" w14:textId="77777777">
        <w:tblPrEx>
          <w:tblCellMar>
            <w:top w:w="0" w:type="dxa"/>
            <w:bottom w:w="0" w:type="dxa"/>
          </w:tblCellMar>
        </w:tblPrEx>
        <w:tc>
          <w:tcPr>
            <w:tcW w:w="1480" w:type="dxa"/>
            <w:tcBorders>
              <w:top w:val="single" w:sz="4" w:space="0" w:color="BBBBBB"/>
              <w:left w:val="single" w:sz="4" w:space="0" w:color="BBBBBB"/>
              <w:bottom w:val="single" w:sz="4" w:space="0" w:color="BBBBBB"/>
              <w:right w:val="single" w:sz="4" w:space="0" w:color="BBBBBB"/>
            </w:tcBorders>
            <w:shd w:val="clear" w:color="auto" w:fill="1F3864"/>
            <w:tcMar>
              <w:top w:w="40" w:type="dxa"/>
              <w:left w:w="80" w:type="dxa"/>
              <w:bottom w:w="40" w:type="dxa"/>
              <w:right w:w="80" w:type="dxa"/>
            </w:tcMar>
            <w:vAlign w:val="center"/>
          </w:tcPr>
          <w:p w14:paraId="257E707F" w14:textId="77777777" w:rsidR="00DE0365" w:rsidRDefault="000869C9">
            <w:r>
              <w:rPr>
                <w:b/>
                <w:bCs/>
                <w:color w:val="FFFFFF"/>
                <w:sz w:val="16"/>
                <w:szCs w:val="16"/>
              </w:rPr>
              <w:t>Classifier</w:t>
            </w:r>
          </w:p>
        </w:tc>
        <w:tc>
          <w:tcPr>
            <w:tcW w:w="800" w:type="dxa"/>
            <w:tcBorders>
              <w:top w:val="single" w:sz="4" w:space="0" w:color="BBBBBB"/>
              <w:left w:val="single" w:sz="4" w:space="0" w:color="BBBBBB"/>
              <w:bottom w:val="single" w:sz="4" w:space="0" w:color="BBBBBB"/>
              <w:right w:val="single" w:sz="4" w:space="0" w:color="BBBBBB"/>
            </w:tcBorders>
            <w:shd w:val="clear" w:color="auto" w:fill="1F3864"/>
            <w:tcMar>
              <w:top w:w="40" w:type="dxa"/>
              <w:left w:w="80" w:type="dxa"/>
              <w:bottom w:w="40" w:type="dxa"/>
              <w:right w:w="80" w:type="dxa"/>
            </w:tcMar>
            <w:vAlign w:val="center"/>
          </w:tcPr>
          <w:p w14:paraId="7EAE81F1" w14:textId="77777777" w:rsidR="00DE0365" w:rsidRDefault="000869C9">
            <w:pPr>
              <w:jc w:val="center"/>
            </w:pPr>
            <w:r>
              <w:rPr>
                <w:b/>
                <w:bCs/>
                <w:color w:val="FFFFFF"/>
                <w:sz w:val="16"/>
                <w:szCs w:val="16"/>
              </w:rPr>
              <w:t>Acc (%)</w:t>
            </w:r>
          </w:p>
        </w:tc>
        <w:tc>
          <w:tcPr>
            <w:tcW w:w="800" w:type="dxa"/>
            <w:tcBorders>
              <w:top w:val="single" w:sz="4" w:space="0" w:color="BBBBBB"/>
              <w:left w:val="single" w:sz="4" w:space="0" w:color="BBBBBB"/>
              <w:bottom w:val="single" w:sz="4" w:space="0" w:color="BBBBBB"/>
              <w:right w:val="single" w:sz="4" w:space="0" w:color="BBBBBB"/>
            </w:tcBorders>
            <w:shd w:val="clear" w:color="auto" w:fill="1F3864"/>
            <w:tcMar>
              <w:top w:w="40" w:type="dxa"/>
              <w:left w:w="80" w:type="dxa"/>
              <w:bottom w:w="40" w:type="dxa"/>
              <w:right w:w="80" w:type="dxa"/>
            </w:tcMar>
            <w:vAlign w:val="center"/>
          </w:tcPr>
          <w:p w14:paraId="07BBE82D" w14:textId="77777777" w:rsidR="00DE0365" w:rsidRDefault="000869C9">
            <w:pPr>
              <w:jc w:val="center"/>
            </w:pPr>
            <w:r>
              <w:rPr>
                <w:b/>
                <w:bCs/>
                <w:color w:val="FFFFFF"/>
                <w:sz w:val="16"/>
                <w:szCs w:val="16"/>
              </w:rPr>
              <w:t>Prec (%)</w:t>
            </w:r>
          </w:p>
        </w:tc>
        <w:tc>
          <w:tcPr>
            <w:tcW w:w="800" w:type="dxa"/>
            <w:tcBorders>
              <w:top w:val="single" w:sz="4" w:space="0" w:color="BBBBBB"/>
              <w:left w:val="single" w:sz="4" w:space="0" w:color="BBBBBB"/>
              <w:bottom w:val="single" w:sz="4" w:space="0" w:color="BBBBBB"/>
              <w:right w:val="single" w:sz="4" w:space="0" w:color="BBBBBB"/>
            </w:tcBorders>
            <w:shd w:val="clear" w:color="auto" w:fill="1F3864"/>
            <w:tcMar>
              <w:top w:w="40" w:type="dxa"/>
              <w:left w:w="80" w:type="dxa"/>
              <w:bottom w:w="40" w:type="dxa"/>
              <w:right w:w="80" w:type="dxa"/>
            </w:tcMar>
            <w:vAlign w:val="center"/>
          </w:tcPr>
          <w:p w14:paraId="4EC6AFEF" w14:textId="77777777" w:rsidR="00DE0365" w:rsidRDefault="000869C9">
            <w:pPr>
              <w:jc w:val="center"/>
            </w:pPr>
            <w:r>
              <w:rPr>
                <w:b/>
                <w:bCs/>
                <w:color w:val="FFFFFF"/>
                <w:sz w:val="16"/>
                <w:szCs w:val="16"/>
              </w:rPr>
              <w:t>Rec (%)</w:t>
            </w:r>
          </w:p>
        </w:tc>
        <w:tc>
          <w:tcPr>
            <w:tcW w:w="800" w:type="dxa"/>
            <w:tcBorders>
              <w:top w:val="single" w:sz="4" w:space="0" w:color="BBBBBB"/>
              <w:left w:val="single" w:sz="4" w:space="0" w:color="BBBBBB"/>
              <w:bottom w:val="single" w:sz="4" w:space="0" w:color="BBBBBB"/>
              <w:right w:val="single" w:sz="4" w:space="0" w:color="BBBBBB"/>
            </w:tcBorders>
            <w:shd w:val="clear" w:color="auto" w:fill="1F3864"/>
            <w:tcMar>
              <w:top w:w="40" w:type="dxa"/>
              <w:left w:w="80" w:type="dxa"/>
              <w:bottom w:w="40" w:type="dxa"/>
              <w:right w:w="80" w:type="dxa"/>
            </w:tcMar>
            <w:vAlign w:val="center"/>
          </w:tcPr>
          <w:p w14:paraId="37583665" w14:textId="77777777" w:rsidR="00DE0365" w:rsidRDefault="000869C9">
            <w:pPr>
              <w:jc w:val="center"/>
            </w:pPr>
            <w:r>
              <w:rPr>
                <w:b/>
                <w:bCs/>
                <w:color w:val="FFFFFF"/>
                <w:sz w:val="16"/>
                <w:szCs w:val="16"/>
              </w:rPr>
              <w:t>F1 (%)</w:t>
            </w:r>
          </w:p>
        </w:tc>
      </w:tr>
      <w:tr w:rsidR="00DE0365" w14:paraId="40907D03" w14:textId="77777777">
        <w:tblPrEx>
          <w:tblCellMar>
            <w:top w:w="0" w:type="dxa"/>
            <w:bottom w:w="0" w:type="dxa"/>
          </w:tblCellMar>
        </w:tblPrEx>
        <w:tc>
          <w:tcPr>
            <w:tcW w:w="148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7ACB59F4" w14:textId="77777777" w:rsidR="00DE0365" w:rsidRDefault="000869C9">
            <w:r>
              <w:rPr>
                <w:color w:val="000000"/>
                <w:sz w:val="16"/>
                <w:szCs w:val="16"/>
              </w:rPr>
              <w:t>KNN (K=1)</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6646DC40" w14:textId="77777777" w:rsidR="00DE0365" w:rsidRDefault="000869C9">
            <w:pPr>
              <w:jc w:val="center"/>
            </w:pPr>
            <w:r>
              <w:rPr>
                <w:color w:val="000000"/>
                <w:sz w:val="16"/>
                <w:szCs w:val="16"/>
              </w:rPr>
              <w:t>100.00</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477C71C5" w14:textId="77777777" w:rsidR="00DE0365" w:rsidRDefault="000869C9">
            <w:pPr>
              <w:jc w:val="center"/>
            </w:pPr>
            <w:r>
              <w:rPr>
                <w:color w:val="000000"/>
                <w:sz w:val="16"/>
                <w:szCs w:val="16"/>
              </w:rPr>
              <w:t>100.00</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0C256956" w14:textId="77777777" w:rsidR="00DE0365" w:rsidRDefault="000869C9">
            <w:pPr>
              <w:jc w:val="center"/>
            </w:pPr>
            <w:r>
              <w:rPr>
                <w:color w:val="000000"/>
                <w:sz w:val="16"/>
                <w:szCs w:val="16"/>
              </w:rPr>
              <w:t>100.00</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1246C8C2" w14:textId="77777777" w:rsidR="00DE0365" w:rsidRDefault="000869C9">
            <w:pPr>
              <w:jc w:val="center"/>
            </w:pPr>
            <w:r>
              <w:rPr>
                <w:color w:val="000000"/>
                <w:sz w:val="16"/>
                <w:szCs w:val="16"/>
              </w:rPr>
              <w:t>100.00</w:t>
            </w:r>
          </w:p>
        </w:tc>
      </w:tr>
      <w:tr w:rsidR="00DE0365" w14:paraId="36FB6F57" w14:textId="77777777">
        <w:tblPrEx>
          <w:tblCellMar>
            <w:top w:w="0" w:type="dxa"/>
            <w:bottom w:w="0" w:type="dxa"/>
          </w:tblCellMar>
        </w:tblPrEx>
        <w:tc>
          <w:tcPr>
            <w:tcW w:w="148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0218C152" w14:textId="77777777" w:rsidR="00DE0365" w:rsidRDefault="000869C9">
            <w:r>
              <w:rPr>
                <w:color w:val="000000"/>
                <w:sz w:val="16"/>
                <w:szCs w:val="16"/>
              </w:rPr>
              <w:t>SVM (RBF)</w:t>
            </w:r>
          </w:p>
        </w:tc>
        <w:tc>
          <w:tcPr>
            <w:tcW w:w="80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0ABD297B" w14:textId="77777777" w:rsidR="00DE0365" w:rsidRDefault="000869C9">
            <w:pPr>
              <w:jc w:val="center"/>
            </w:pPr>
            <w:r>
              <w:rPr>
                <w:color w:val="000000"/>
                <w:sz w:val="16"/>
                <w:szCs w:val="16"/>
              </w:rPr>
              <w:t>100.00</w:t>
            </w:r>
          </w:p>
        </w:tc>
        <w:tc>
          <w:tcPr>
            <w:tcW w:w="80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15ECFA21" w14:textId="77777777" w:rsidR="00DE0365" w:rsidRDefault="000869C9">
            <w:pPr>
              <w:jc w:val="center"/>
            </w:pPr>
            <w:r>
              <w:rPr>
                <w:color w:val="000000"/>
                <w:sz w:val="16"/>
                <w:szCs w:val="16"/>
              </w:rPr>
              <w:t>100.00</w:t>
            </w:r>
          </w:p>
        </w:tc>
        <w:tc>
          <w:tcPr>
            <w:tcW w:w="80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3F446F10" w14:textId="77777777" w:rsidR="00DE0365" w:rsidRDefault="000869C9">
            <w:pPr>
              <w:jc w:val="center"/>
            </w:pPr>
            <w:r>
              <w:rPr>
                <w:color w:val="000000"/>
                <w:sz w:val="16"/>
                <w:szCs w:val="16"/>
              </w:rPr>
              <w:t>100.00</w:t>
            </w:r>
          </w:p>
        </w:tc>
        <w:tc>
          <w:tcPr>
            <w:tcW w:w="80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3F65946A" w14:textId="77777777" w:rsidR="00DE0365" w:rsidRDefault="000869C9">
            <w:pPr>
              <w:jc w:val="center"/>
            </w:pPr>
            <w:r>
              <w:rPr>
                <w:color w:val="000000"/>
                <w:sz w:val="16"/>
                <w:szCs w:val="16"/>
              </w:rPr>
              <w:t>100.00</w:t>
            </w:r>
          </w:p>
        </w:tc>
      </w:tr>
      <w:tr w:rsidR="00DE0365" w14:paraId="59817DE0" w14:textId="77777777">
        <w:tblPrEx>
          <w:tblCellMar>
            <w:top w:w="0" w:type="dxa"/>
            <w:bottom w:w="0" w:type="dxa"/>
          </w:tblCellMar>
        </w:tblPrEx>
        <w:tc>
          <w:tcPr>
            <w:tcW w:w="148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66EB255C" w14:textId="77777777" w:rsidR="00DE0365" w:rsidRDefault="000869C9">
            <w:r>
              <w:rPr>
                <w:color w:val="000000"/>
                <w:sz w:val="16"/>
                <w:szCs w:val="16"/>
              </w:rPr>
              <w:t>Logistic Regression</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66052292" w14:textId="77777777" w:rsidR="00DE0365" w:rsidRDefault="000869C9">
            <w:pPr>
              <w:jc w:val="center"/>
            </w:pPr>
            <w:r>
              <w:rPr>
                <w:color w:val="000000"/>
                <w:sz w:val="16"/>
                <w:szCs w:val="16"/>
              </w:rPr>
              <w:t>100.00</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6E0C274F" w14:textId="77777777" w:rsidR="00DE0365" w:rsidRDefault="000869C9">
            <w:pPr>
              <w:jc w:val="center"/>
            </w:pPr>
            <w:r>
              <w:rPr>
                <w:color w:val="000000"/>
                <w:sz w:val="16"/>
                <w:szCs w:val="16"/>
              </w:rPr>
              <w:t>100.00</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634CED98" w14:textId="77777777" w:rsidR="00DE0365" w:rsidRDefault="000869C9">
            <w:pPr>
              <w:jc w:val="center"/>
            </w:pPr>
            <w:r>
              <w:rPr>
                <w:color w:val="000000"/>
                <w:sz w:val="16"/>
                <w:szCs w:val="16"/>
              </w:rPr>
              <w:t>100.00</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1943CFA4" w14:textId="77777777" w:rsidR="00DE0365" w:rsidRDefault="000869C9">
            <w:pPr>
              <w:jc w:val="center"/>
            </w:pPr>
            <w:r>
              <w:rPr>
                <w:color w:val="000000"/>
                <w:sz w:val="16"/>
                <w:szCs w:val="16"/>
              </w:rPr>
              <w:t>100.00</w:t>
            </w:r>
          </w:p>
        </w:tc>
      </w:tr>
      <w:tr w:rsidR="00DE0365" w14:paraId="367E13CA" w14:textId="77777777">
        <w:tblPrEx>
          <w:tblCellMar>
            <w:top w:w="0" w:type="dxa"/>
            <w:bottom w:w="0" w:type="dxa"/>
          </w:tblCellMar>
        </w:tblPrEx>
        <w:tc>
          <w:tcPr>
            <w:tcW w:w="148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57C6D629" w14:textId="77777777" w:rsidR="00DE0365" w:rsidRDefault="000869C9">
            <w:r>
              <w:rPr>
                <w:color w:val="000000"/>
                <w:sz w:val="16"/>
                <w:szCs w:val="16"/>
              </w:rPr>
              <w:t>Decision Tree</w:t>
            </w:r>
          </w:p>
        </w:tc>
        <w:tc>
          <w:tcPr>
            <w:tcW w:w="80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0212D04B" w14:textId="77777777" w:rsidR="00DE0365" w:rsidRDefault="000869C9">
            <w:pPr>
              <w:jc w:val="center"/>
            </w:pPr>
            <w:r>
              <w:rPr>
                <w:color w:val="000000"/>
                <w:sz w:val="16"/>
                <w:szCs w:val="16"/>
              </w:rPr>
              <w:t>86.67</w:t>
            </w:r>
          </w:p>
        </w:tc>
        <w:tc>
          <w:tcPr>
            <w:tcW w:w="80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26CD8837" w14:textId="77777777" w:rsidR="00DE0365" w:rsidRDefault="000869C9">
            <w:pPr>
              <w:jc w:val="center"/>
            </w:pPr>
            <w:r>
              <w:rPr>
                <w:color w:val="000000"/>
                <w:sz w:val="16"/>
                <w:szCs w:val="16"/>
              </w:rPr>
              <w:t>71.43</w:t>
            </w:r>
          </w:p>
        </w:tc>
        <w:tc>
          <w:tcPr>
            <w:tcW w:w="80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35EF7DF3" w14:textId="77777777" w:rsidR="00DE0365" w:rsidRDefault="000869C9">
            <w:pPr>
              <w:jc w:val="center"/>
            </w:pPr>
            <w:r>
              <w:rPr>
                <w:color w:val="000000"/>
                <w:sz w:val="16"/>
                <w:szCs w:val="16"/>
              </w:rPr>
              <w:t>100.00</w:t>
            </w:r>
          </w:p>
        </w:tc>
        <w:tc>
          <w:tcPr>
            <w:tcW w:w="80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3FBFA733" w14:textId="77777777" w:rsidR="00DE0365" w:rsidRDefault="000869C9">
            <w:pPr>
              <w:jc w:val="center"/>
            </w:pPr>
            <w:r>
              <w:rPr>
                <w:color w:val="000000"/>
                <w:sz w:val="16"/>
                <w:szCs w:val="16"/>
              </w:rPr>
              <w:t>83.33</w:t>
            </w:r>
          </w:p>
        </w:tc>
      </w:tr>
      <w:tr w:rsidR="00DE0365" w14:paraId="6E3F45F0" w14:textId="77777777">
        <w:tblPrEx>
          <w:tblCellMar>
            <w:top w:w="0" w:type="dxa"/>
            <w:bottom w:w="0" w:type="dxa"/>
          </w:tblCellMar>
        </w:tblPrEx>
        <w:tc>
          <w:tcPr>
            <w:tcW w:w="148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1DC9F212" w14:textId="77777777" w:rsidR="00DE0365" w:rsidRDefault="000869C9">
            <w:r>
              <w:rPr>
                <w:color w:val="000000"/>
                <w:sz w:val="16"/>
                <w:szCs w:val="16"/>
              </w:rPr>
              <w:t>Naive Bayes</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67584D2A" w14:textId="77777777" w:rsidR="00DE0365" w:rsidRDefault="000869C9">
            <w:pPr>
              <w:jc w:val="center"/>
            </w:pPr>
            <w:r>
              <w:rPr>
                <w:color w:val="000000"/>
                <w:sz w:val="16"/>
                <w:szCs w:val="16"/>
              </w:rPr>
              <w:t>100.00</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4195400A" w14:textId="77777777" w:rsidR="00DE0365" w:rsidRDefault="000869C9">
            <w:pPr>
              <w:jc w:val="center"/>
            </w:pPr>
            <w:r>
              <w:rPr>
                <w:color w:val="000000"/>
                <w:sz w:val="16"/>
                <w:szCs w:val="16"/>
              </w:rPr>
              <w:t>100.00</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15C69C2C" w14:textId="77777777" w:rsidR="00DE0365" w:rsidRDefault="000869C9">
            <w:pPr>
              <w:jc w:val="center"/>
            </w:pPr>
            <w:r>
              <w:rPr>
                <w:color w:val="000000"/>
                <w:sz w:val="16"/>
                <w:szCs w:val="16"/>
              </w:rPr>
              <w:t>100.00</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7F6203F8" w14:textId="77777777" w:rsidR="00DE0365" w:rsidRDefault="000869C9">
            <w:pPr>
              <w:jc w:val="center"/>
            </w:pPr>
            <w:r>
              <w:rPr>
                <w:color w:val="000000"/>
                <w:sz w:val="16"/>
                <w:szCs w:val="16"/>
              </w:rPr>
              <w:t>100.00</w:t>
            </w:r>
          </w:p>
        </w:tc>
      </w:tr>
    </w:tbl>
    <w:p w14:paraId="0C6B0A57" w14:textId="77777777" w:rsidR="00DE0365" w:rsidRDefault="00DE0365">
      <w:pPr>
        <w:spacing w:after="80"/>
      </w:pPr>
    </w:p>
    <w:p w14:paraId="017872B7" w14:textId="77777777" w:rsidR="00DE0365" w:rsidRDefault="000869C9">
      <w:pPr>
        <w:spacing w:after="80"/>
        <w:jc w:val="both"/>
      </w:pPr>
      <w:r>
        <w:rPr>
          <w:color w:val="000000"/>
        </w:rPr>
        <w:t>Decision Tree was the sole classifier producing misclassifications: Accuracy = 86.67%, F1 = 83.33%, Confusion Matrix = [[8, 2], [0, 5]]. Two ALL samples were misclassified as AML (False Positives) while AML recall was perfect (no False Negatives). The lowe</w:t>
      </w:r>
      <w:r>
        <w:rPr>
          <w:color w:val="000000"/>
        </w:rPr>
        <w:t>r performance reflects DT's susceptibility to overfitting in high-dimensional, small-sample settings — even with depth restriction (max_depth = 5), threshold choices on 57 training samples are suboptimal. Importantly, the original paper reported only accur</w:t>
      </w:r>
      <w:r>
        <w:rPr>
          <w:color w:val="000000"/>
        </w:rPr>
        <w:t>acy and error rate; our extension reveals that DT's 100% AML recall masks its poor precision (71.43%) — a clinically significant distinction invisible in accuracy-only reporting.</w:t>
      </w:r>
    </w:p>
    <w:p w14:paraId="04D5986C" w14:textId="77777777" w:rsidR="00DE0365" w:rsidRDefault="00DE0365">
      <w:pPr>
        <w:spacing w:after="40"/>
      </w:pPr>
    </w:p>
    <w:p w14:paraId="7150DAAE" w14:textId="03AFC454" w:rsidR="00DE0365" w:rsidRDefault="000869C9">
      <w:pPr>
        <w:spacing w:before="60" w:after="120"/>
        <w:jc w:val="center"/>
      </w:pPr>
      <w:r>
        <w:rPr>
          <w:b/>
          <w:bCs/>
          <w:noProof/>
          <w:color w:val="000000"/>
          <w:sz w:val="16"/>
          <w:szCs w:val="16"/>
        </w:rPr>
        <w:drawing>
          <wp:inline distT="0" distB="0" distL="0" distR="0" wp14:anchorId="473FAF25" wp14:editId="0BC711EE">
            <wp:extent cx="2971800" cy="1985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800" cy="1985010"/>
                    </a:xfrm>
                    <a:prstGeom prst="rect">
                      <a:avLst/>
                    </a:prstGeom>
                    <a:noFill/>
                    <a:ln>
                      <a:noFill/>
                    </a:ln>
                  </pic:spPr>
                </pic:pic>
              </a:graphicData>
            </a:graphic>
          </wp:inline>
        </w:drawing>
      </w:r>
      <w:r>
        <w:rPr>
          <w:b/>
          <w:bCs/>
          <w:color w:val="000000"/>
          <w:sz w:val="16"/>
          <w:szCs w:val="16"/>
        </w:rPr>
        <w:t xml:space="preserve">Fig. </w:t>
      </w:r>
      <w:r w:rsidR="00335236">
        <w:rPr>
          <w:b/>
          <w:bCs/>
          <w:color w:val="000000"/>
          <w:sz w:val="16"/>
          <w:szCs w:val="16"/>
        </w:rPr>
        <w:t>4</w:t>
      </w:r>
      <w:r>
        <w:rPr>
          <w:b/>
          <w:bCs/>
          <w:color w:val="000000"/>
          <w:sz w:val="16"/>
          <w:szCs w:val="16"/>
        </w:rPr>
        <w:t xml:space="preserve">. </w:t>
      </w:r>
      <w:r>
        <w:rPr>
          <w:color w:val="000000"/>
          <w:sz w:val="16"/>
          <w:szCs w:val="16"/>
        </w:rPr>
        <w:t>Confusion matrices for all five classifiers on the 15-sample test set. KNN, SVM, LR, and NB show perfect classification; DT misclassifies 2 ALL samples as AML.</w:t>
      </w:r>
    </w:p>
    <w:p w14:paraId="45E2268B" w14:textId="77777777" w:rsidR="00DE0365" w:rsidRDefault="00DE0365">
      <w:pPr>
        <w:spacing w:after="40"/>
      </w:pPr>
    </w:p>
    <w:p w14:paraId="47A6BD05" w14:textId="359118FB" w:rsidR="00DE0365" w:rsidRDefault="000869C9">
      <w:pPr>
        <w:spacing w:before="60" w:after="120"/>
        <w:jc w:val="center"/>
      </w:pPr>
      <w:r>
        <w:rPr>
          <w:b/>
          <w:bCs/>
          <w:noProof/>
          <w:color w:val="000000"/>
          <w:sz w:val="16"/>
          <w:szCs w:val="16"/>
        </w:rPr>
        <w:drawing>
          <wp:inline distT="0" distB="0" distL="0" distR="0" wp14:anchorId="1A781639" wp14:editId="7927A588">
            <wp:extent cx="2971800" cy="1361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1800" cy="1361440"/>
                    </a:xfrm>
                    <a:prstGeom prst="rect">
                      <a:avLst/>
                    </a:prstGeom>
                    <a:noFill/>
                    <a:ln>
                      <a:noFill/>
                    </a:ln>
                  </pic:spPr>
                </pic:pic>
              </a:graphicData>
            </a:graphic>
          </wp:inline>
        </w:drawing>
      </w:r>
      <w:r>
        <w:rPr>
          <w:b/>
          <w:bCs/>
          <w:color w:val="000000"/>
          <w:sz w:val="16"/>
          <w:szCs w:val="16"/>
        </w:rPr>
        <w:t xml:space="preserve">Fig. </w:t>
      </w:r>
      <w:r w:rsidR="00335236">
        <w:rPr>
          <w:b/>
          <w:bCs/>
          <w:color w:val="000000"/>
          <w:sz w:val="16"/>
          <w:szCs w:val="16"/>
        </w:rPr>
        <w:t>5</w:t>
      </w:r>
      <w:r>
        <w:rPr>
          <w:b/>
          <w:bCs/>
          <w:color w:val="000000"/>
          <w:sz w:val="16"/>
          <w:szCs w:val="16"/>
        </w:rPr>
        <w:t xml:space="preserve">. </w:t>
      </w:r>
      <w:r>
        <w:rPr>
          <w:color w:val="000000"/>
          <w:sz w:val="16"/>
          <w:szCs w:val="16"/>
        </w:rPr>
        <w:t>Grouped bar chart comparing Accuracy, Precision, Recall, and F1 Score across all five classifiers on the test set.</w:t>
      </w:r>
    </w:p>
    <w:p w14:paraId="62AE5469" w14:textId="77777777" w:rsidR="00DE0365" w:rsidRDefault="00DE0365">
      <w:pPr>
        <w:spacing w:after="60"/>
      </w:pPr>
    </w:p>
    <w:p w14:paraId="54E93A0D" w14:textId="77777777" w:rsidR="00DE0365" w:rsidRDefault="000869C9">
      <w:pPr>
        <w:spacing w:before="100" w:after="60"/>
      </w:pPr>
      <w:r>
        <w:rPr>
          <w:b/>
          <w:bCs/>
          <w:color w:val="000000"/>
        </w:rPr>
        <w:t>D. Cross-Validation Results</w:t>
      </w:r>
    </w:p>
    <w:p w14:paraId="1264F2DF" w14:textId="77777777" w:rsidR="00DE0365" w:rsidRDefault="000869C9">
      <w:pPr>
        <w:spacing w:after="80"/>
        <w:jc w:val="both"/>
      </w:pPr>
      <w:r>
        <w:rPr>
          <w:color w:val="000000"/>
        </w:rPr>
        <w:t>Table II reports 10-fold stratified cross-validation results across all 72 patients. SVM, Logistic Regression, a</w:t>
      </w:r>
      <w:r>
        <w:rPr>
          <w:color w:val="000000"/>
        </w:rPr>
        <w:t xml:space="preserve">nd Naive Bayes jointly achieved the highest mean CV accuracy of 95.71% ± </w:t>
      </w:r>
      <w:r>
        <w:rPr>
          <w:color w:val="000000"/>
        </w:rPr>
        <w:lastRenderedPageBreak/>
        <w:t>9.15% (CV F1: 93.57%), establishing them as the most reliably generalizable classifiers on this dataset. KNN (K=1) exhibited slightly lower CV accuracy of 93.21% ± 8.81%, attributable</w:t>
      </w:r>
      <w:r>
        <w:rPr>
          <w:color w:val="000000"/>
        </w:rPr>
        <w:t xml:space="preserve"> to the 1-NN rule's fold-level sensitivity when small folds (≈7 samples) create less representative training sets. Decision Tree showed the weakest generalization at 85.71% ± 11.07% — the highest variance of all classifiers, confirming its instability on s</w:t>
      </w:r>
      <w:r>
        <w:rPr>
          <w:color w:val="000000"/>
        </w:rPr>
        <w:t>mall microarray datasets.</w:t>
      </w:r>
    </w:p>
    <w:p w14:paraId="45C608F0" w14:textId="77777777" w:rsidR="00DE0365" w:rsidRDefault="00DE0365">
      <w:pPr>
        <w:spacing w:after="40"/>
      </w:pPr>
    </w:p>
    <w:p w14:paraId="5951B44E" w14:textId="77777777" w:rsidR="00DE0365" w:rsidRDefault="000869C9">
      <w:pPr>
        <w:spacing w:before="120" w:after="60"/>
        <w:jc w:val="center"/>
      </w:pPr>
      <w:r>
        <w:rPr>
          <w:b/>
          <w:bCs/>
          <w:color w:val="000000"/>
        </w:rPr>
        <w:t>TABLE II</w:t>
      </w:r>
      <w:r>
        <w:rPr>
          <w:b/>
          <w:bCs/>
          <w:color w:val="000000"/>
          <w:sz w:val="17"/>
          <w:szCs w:val="17"/>
        </w:rPr>
        <w:t xml:space="preserve"> 10-Fold Stratified Cross-Validation Results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000"/>
        <w:gridCol w:w="1000"/>
        <w:gridCol w:w="1000"/>
      </w:tblGrid>
      <w:tr w:rsidR="00DE0365" w14:paraId="4A7CED61" w14:textId="77777777">
        <w:tblPrEx>
          <w:tblCellMar>
            <w:top w:w="0" w:type="dxa"/>
            <w:bottom w:w="0" w:type="dxa"/>
          </w:tblCellMar>
        </w:tblPrEx>
        <w:tc>
          <w:tcPr>
            <w:tcW w:w="1680" w:type="dxa"/>
            <w:tcBorders>
              <w:top w:val="single" w:sz="4" w:space="0" w:color="BBBBBB"/>
              <w:left w:val="single" w:sz="4" w:space="0" w:color="BBBBBB"/>
              <w:bottom w:val="single" w:sz="4" w:space="0" w:color="BBBBBB"/>
              <w:right w:val="single" w:sz="4" w:space="0" w:color="BBBBBB"/>
            </w:tcBorders>
            <w:shd w:val="clear" w:color="auto" w:fill="1F3864"/>
            <w:tcMar>
              <w:top w:w="40" w:type="dxa"/>
              <w:left w:w="80" w:type="dxa"/>
              <w:bottom w:w="40" w:type="dxa"/>
              <w:right w:w="80" w:type="dxa"/>
            </w:tcMar>
            <w:vAlign w:val="center"/>
          </w:tcPr>
          <w:p w14:paraId="2E7EFB5D" w14:textId="77777777" w:rsidR="00DE0365" w:rsidRDefault="000869C9">
            <w:r>
              <w:rPr>
                <w:b/>
                <w:bCs/>
                <w:color w:val="FFFFFF"/>
                <w:sz w:val="16"/>
                <w:szCs w:val="16"/>
              </w:rPr>
              <w:t>Classifier</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40" w:type="dxa"/>
              <w:left w:w="80" w:type="dxa"/>
              <w:bottom w:w="40" w:type="dxa"/>
              <w:right w:w="80" w:type="dxa"/>
            </w:tcMar>
            <w:vAlign w:val="center"/>
          </w:tcPr>
          <w:p w14:paraId="587DEF42" w14:textId="77777777" w:rsidR="00DE0365" w:rsidRDefault="000869C9">
            <w:pPr>
              <w:jc w:val="center"/>
            </w:pPr>
            <w:r>
              <w:rPr>
                <w:b/>
                <w:bCs/>
                <w:color w:val="FFFFFF"/>
                <w:sz w:val="16"/>
                <w:szCs w:val="16"/>
              </w:rPr>
              <w:t>CV Acc (%)</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40" w:type="dxa"/>
              <w:left w:w="80" w:type="dxa"/>
              <w:bottom w:w="40" w:type="dxa"/>
              <w:right w:w="80" w:type="dxa"/>
            </w:tcMar>
            <w:vAlign w:val="center"/>
          </w:tcPr>
          <w:p w14:paraId="725093F6" w14:textId="77777777" w:rsidR="00DE0365" w:rsidRDefault="000869C9">
            <w:pPr>
              <w:jc w:val="center"/>
            </w:pPr>
            <w:r>
              <w:rPr>
                <w:b/>
                <w:bCs/>
                <w:color w:val="FFFFFF"/>
                <w:sz w:val="16"/>
                <w:szCs w:val="16"/>
              </w:rPr>
              <w:t>CV F1 (%)</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40" w:type="dxa"/>
              <w:left w:w="80" w:type="dxa"/>
              <w:bottom w:w="40" w:type="dxa"/>
              <w:right w:w="80" w:type="dxa"/>
            </w:tcMar>
            <w:vAlign w:val="center"/>
          </w:tcPr>
          <w:p w14:paraId="18492E2B" w14:textId="77777777" w:rsidR="00DE0365" w:rsidRDefault="000869C9">
            <w:pPr>
              <w:jc w:val="center"/>
            </w:pPr>
            <w:r>
              <w:rPr>
                <w:b/>
                <w:bCs/>
                <w:color w:val="FFFFFF"/>
                <w:sz w:val="16"/>
                <w:szCs w:val="16"/>
              </w:rPr>
              <w:t>Std (%)</w:t>
            </w:r>
          </w:p>
        </w:tc>
      </w:tr>
      <w:tr w:rsidR="00DE0365" w14:paraId="494EEC52" w14:textId="77777777">
        <w:tblPrEx>
          <w:tblCellMar>
            <w:top w:w="0" w:type="dxa"/>
            <w:bottom w:w="0" w:type="dxa"/>
          </w:tblCellMar>
        </w:tblPrEx>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35AB8033" w14:textId="77777777" w:rsidR="00DE0365" w:rsidRDefault="000869C9">
            <w:r>
              <w:rPr>
                <w:color w:val="000000"/>
                <w:sz w:val="16"/>
                <w:szCs w:val="16"/>
              </w:rPr>
              <w:t>KNN (K=1)</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0F61F5D4" w14:textId="77777777" w:rsidR="00DE0365" w:rsidRDefault="000869C9">
            <w:pPr>
              <w:jc w:val="center"/>
            </w:pPr>
            <w:r>
              <w:rPr>
                <w:color w:val="000000"/>
                <w:sz w:val="16"/>
                <w:szCs w:val="16"/>
              </w:rPr>
              <w:t>93.21</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3C207C90" w14:textId="77777777" w:rsidR="00DE0365" w:rsidRDefault="000869C9">
            <w:pPr>
              <w:jc w:val="center"/>
            </w:pPr>
            <w:r>
              <w:rPr>
                <w:color w:val="000000"/>
                <w:sz w:val="16"/>
                <w:szCs w:val="16"/>
              </w:rPr>
              <w:t>91.31</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45578325" w14:textId="77777777" w:rsidR="00DE0365" w:rsidRDefault="000869C9">
            <w:pPr>
              <w:jc w:val="center"/>
            </w:pPr>
            <w:r>
              <w:rPr>
                <w:color w:val="000000"/>
                <w:sz w:val="16"/>
                <w:szCs w:val="16"/>
              </w:rPr>
              <w:t>±8.81</w:t>
            </w:r>
          </w:p>
        </w:tc>
      </w:tr>
      <w:tr w:rsidR="00DE0365" w14:paraId="409AB897" w14:textId="77777777">
        <w:tblPrEx>
          <w:tblCellMar>
            <w:top w:w="0" w:type="dxa"/>
            <w:bottom w:w="0" w:type="dxa"/>
          </w:tblCellMar>
        </w:tblPrEx>
        <w:tc>
          <w:tcPr>
            <w:tcW w:w="168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73CCE35F" w14:textId="77777777" w:rsidR="00DE0365" w:rsidRDefault="000869C9">
            <w:r>
              <w:rPr>
                <w:color w:val="000000"/>
                <w:sz w:val="16"/>
                <w:szCs w:val="16"/>
              </w:rPr>
              <w:t>SVM (RBF)</w:t>
            </w:r>
          </w:p>
        </w:tc>
        <w:tc>
          <w:tcPr>
            <w:tcW w:w="100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163BAEB2" w14:textId="77777777" w:rsidR="00DE0365" w:rsidRDefault="000869C9">
            <w:pPr>
              <w:jc w:val="center"/>
            </w:pPr>
            <w:r>
              <w:rPr>
                <w:color w:val="000000"/>
                <w:sz w:val="16"/>
                <w:szCs w:val="16"/>
              </w:rPr>
              <w:t>95.71</w:t>
            </w:r>
          </w:p>
        </w:tc>
        <w:tc>
          <w:tcPr>
            <w:tcW w:w="100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0AA9ADD2" w14:textId="77777777" w:rsidR="00DE0365" w:rsidRDefault="000869C9">
            <w:pPr>
              <w:jc w:val="center"/>
            </w:pPr>
            <w:r>
              <w:rPr>
                <w:color w:val="000000"/>
                <w:sz w:val="16"/>
                <w:szCs w:val="16"/>
              </w:rPr>
              <w:t>93.57</w:t>
            </w:r>
          </w:p>
        </w:tc>
        <w:tc>
          <w:tcPr>
            <w:tcW w:w="100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2A7E0BE2" w14:textId="77777777" w:rsidR="00DE0365" w:rsidRDefault="000869C9">
            <w:pPr>
              <w:jc w:val="center"/>
            </w:pPr>
            <w:r>
              <w:rPr>
                <w:color w:val="000000"/>
                <w:sz w:val="16"/>
                <w:szCs w:val="16"/>
              </w:rPr>
              <w:t>±9.15</w:t>
            </w:r>
          </w:p>
        </w:tc>
      </w:tr>
      <w:tr w:rsidR="00DE0365" w14:paraId="0C8DCDCE" w14:textId="77777777">
        <w:tblPrEx>
          <w:tblCellMar>
            <w:top w:w="0" w:type="dxa"/>
            <w:bottom w:w="0" w:type="dxa"/>
          </w:tblCellMar>
        </w:tblPrEx>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0AA84A62" w14:textId="77777777" w:rsidR="00DE0365" w:rsidRDefault="000869C9">
            <w:r>
              <w:rPr>
                <w:color w:val="000000"/>
                <w:sz w:val="16"/>
                <w:szCs w:val="16"/>
              </w:rPr>
              <w:t>Logistic Regression</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753A36B0" w14:textId="77777777" w:rsidR="00DE0365" w:rsidRDefault="000869C9">
            <w:pPr>
              <w:jc w:val="center"/>
            </w:pPr>
            <w:r>
              <w:rPr>
                <w:color w:val="000000"/>
                <w:sz w:val="16"/>
                <w:szCs w:val="16"/>
              </w:rPr>
              <w:t>95.71</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5550FAC4" w14:textId="77777777" w:rsidR="00DE0365" w:rsidRDefault="000869C9">
            <w:pPr>
              <w:jc w:val="center"/>
            </w:pPr>
            <w:r>
              <w:rPr>
                <w:color w:val="000000"/>
                <w:sz w:val="16"/>
                <w:szCs w:val="16"/>
              </w:rPr>
              <w:t>93.57</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1EB122B9" w14:textId="77777777" w:rsidR="00DE0365" w:rsidRDefault="000869C9">
            <w:pPr>
              <w:jc w:val="center"/>
            </w:pPr>
            <w:r>
              <w:rPr>
                <w:color w:val="000000"/>
                <w:sz w:val="16"/>
                <w:szCs w:val="16"/>
              </w:rPr>
              <w:t>±9.15</w:t>
            </w:r>
          </w:p>
        </w:tc>
      </w:tr>
      <w:tr w:rsidR="00DE0365" w14:paraId="726D1CFF" w14:textId="77777777">
        <w:tblPrEx>
          <w:tblCellMar>
            <w:top w:w="0" w:type="dxa"/>
            <w:bottom w:w="0" w:type="dxa"/>
          </w:tblCellMar>
        </w:tblPrEx>
        <w:tc>
          <w:tcPr>
            <w:tcW w:w="168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371D0CF6" w14:textId="77777777" w:rsidR="00DE0365" w:rsidRDefault="000869C9">
            <w:r>
              <w:rPr>
                <w:color w:val="000000"/>
                <w:sz w:val="16"/>
                <w:szCs w:val="16"/>
              </w:rPr>
              <w:t>Decision Tree</w:t>
            </w:r>
          </w:p>
        </w:tc>
        <w:tc>
          <w:tcPr>
            <w:tcW w:w="100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70870AE3" w14:textId="77777777" w:rsidR="00DE0365" w:rsidRDefault="000869C9">
            <w:pPr>
              <w:jc w:val="center"/>
            </w:pPr>
            <w:r>
              <w:rPr>
                <w:color w:val="000000"/>
                <w:sz w:val="16"/>
                <w:szCs w:val="16"/>
              </w:rPr>
              <w:t>85.71</w:t>
            </w:r>
          </w:p>
        </w:tc>
        <w:tc>
          <w:tcPr>
            <w:tcW w:w="100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07B99849" w14:textId="77777777" w:rsidR="00DE0365" w:rsidRDefault="000869C9">
            <w:pPr>
              <w:jc w:val="center"/>
            </w:pPr>
            <w:r>
              <w:rPr>
                <w:color w:val="000000"/>
                <w:sz w:val="16"/>
                <w:szCs w:val="16"/>
              </w:rPr>
              <w:t>80.17</w:t>
            </w:r>
          </w:p>
        </w:tc>
        <w:tc>
          <w:tcPr>
            <w:tcW w:w="100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7613D8B2" w14:textId="77777777" w:rsidR="00DE0365" w:rsidRDefault="000869C9">
            <w:pPr>
              <w:jc w:val="center"/>
            </w:pPr>
            <w:r>
              <w:rPr>
                <w:color w:val="000000"/>
                <w:sz w:val="16"/>
                <w:szCs w:val="16"/>
              </w:rPr>
              <w:t>±11.07</w:t>
            </w:r>
          </w:p>
        </w:tc>
      </w:tr>
      <w:tr w:rsidR="00DE0365" w14:paraId="3EFAAC4B" w14:textId="77777777">
        <w:tblPrEx>
          <w:tblCellMar>
            <w:top w:w="0" w:type="dxa"/>
            <w:bottom w:w="0" w:type="dxa"/>
          </w:tblCellMar>
        </w:tblPrEx>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5EFE580C" w14:textId="77777777" w:rsidR="00DE0365" w:rsidRDefault="000869C9">
            <w:r>
              <w:rPr>
                <w:color w:val="000000"/>
                <w:sz w:val="16"/>
                <w:szCs w:val="16"/>
              </w:rPr>
              <w:t>Naive Bayes</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5E84B679" w14:textId="77777777" w:rsidR="00DE0365" w:rsidRDefault="000869C9">
            <w:pPr>
              <w:jc w:val="center"/>
            </w:pPr>
            <w:r>
              <w:rPr>
                <w:color w:val="000000"/>
                <w:sz w:val="16"/>
                <w:szCs w:val="16"/>
              </w:rPr>
              <w:t>95.71</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2459324D" w14:textId="77777777" w:rsidR="00DE0365" w:rsidRDefault="000869C9">
            <w:pPr>
              <w:jc w:val="center"/>
            </w:pPr>
            <w:r>
              <w:rPr>
                <w:color w:val="000000"/>
                <w:sz w:val="16"/>
                <w:szCs w:val="16"/>
              </w:rPr>
              <w:t>93.57</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0CEB6E7F" w14:textId="77777777" w:rsidR="00DE0365" w:rsidRDefault="000869C9">
            <w:pPr>
              <w:jc w:val="center"/>
            </w:pPr>
            <w:r>
              <w:rPr>
                <w:color w:val="000000"/>
                <w:sz w:val="16"/>
                <w:szCs w:val="16"/>
              </w:rPr>
              <w:t>±9.15</w:t>
            </w:r>
          </w:p>
        </w:tc>
      </w:tr>
    </w:tbl>
    <w:p w14:paraId="31B08EE4" w14:textId="77777777" w:rsidR="00DE0365" w:rsidRDefault="00DE0365">
      <w:pPr>
        <w:spacing w:after="80"/>
      </w:pPr>
    </w:p>
    <w:p w14:paraId="5D668BE8" w14:textId="77777777" w:rsidR="00DE0365" w:rsidRDefault="000869C9">
      <w:pPr>
        <w:spacing w:after="80"/>
        <w:jc w:val="both"/>
      </w:pPr>
      <w:r>
        <w:rPr>
          <w:color w:val="000000"/>
        </w:rPr>
        <w:t>Standard deviations of 8–11% across all classifiers are expected given the dataset contains only 72 samples: individual folds contain ≈7 test samples, producing natural fold-to-fold variance. Despite this, all classifiers consistently exceeded 80% accuracy</w:t>
      </w:r>
      <w:r>
        <w:rPr>
          <w:color w:val="000000"/>
        </w:rPr>
        <w:t xml:space="preserve"> across folds, confirming the discriminative power of the SNR-selected 30-gene signature across diverse training set compositions.</w:t>
      </w:r>
    </w:p>
    <w:p w14:paraId="42121D45" w14:textId="77777777" w:rsidR="00DE0365" w:rsidRDefault="00DE0365">
      <w:pPr>
        <w:spacing w:after="40"/>
      </w:pPr>
    </w:p>
    <w:p w14:paraId="426DA59C" w14:textId="71A44C8C" w:rsidR="00DE0365" w:rsidRDefault="000869C9">
      <w:pPr>
        <w:spacing w:before="60" w:after="120"/>
        <w:jc w:val="center"/>
      </w:pPr>
      <w:r>
        <w:rPr>
          <w:b/>
          <w:bCs/>
          <w:noProof/>
          <w:color w:val="000000"/>
          <w:sz w:val="16"/>
          <w:szCs w:val="16"/>
        </w:rPr>
        <w:drawing>
          <wp:inline distT="0" distB="0" distL="0" distR="0" wp14:anchorId="5A34E46C" wp14:editId="2C94CA6C">
            <wp:extent cx="2971800" cy="1609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1800" cy="1609090"/>
                    </a:xfrm>
                    <a:prstGeom prst="rect">
                      <a:avLst/>
                    </a:prstGeom>
                    <a:noFill/>
                    <a:ln>
                      <a:noFill/>
                    </a:ln>
                  </pic:spPr>
                </pic:pic>
              </a:graphicData>
            </a:graphic>
          </wp:inline>
        </w:drawing>
      </w:r>
      <w:r>
        <w:rPr>
          <w:b/>
          <w:bCs/>
          <w:color w:val="000000"/>
          <w:sz w:val="16"/>
          <w:szCs w:val="16"/>
        </w:rPr>
        <w:t xml:space="preserve">Fig. </w:t>
      </w:r>
      <w:r w:rsidR="00335236">
        <w:rPr>
          <w:b/>
          <w:bCs/>
          <w:color w:val="000000"/>
          <w:sz w:val="16"/>
          <w:szCs w:val="16"/>
        </w:rPr>
        <w:t>6</w:t>
      </w:r>
      <w:r>
        <w:rPr>
          <w:b/>
          <w:bCs/>
          <w:color w:val="000000"/>
          <w:sz w:val="16"/>
          <w:szCs w:val="16"/>
        </w:rPr>
        <w:t xml:space="preserve">. </w:t>
      </w:r>
      <w:r>
        <w:rPr>
          <w:color w:val="000000"/>
          <w:sz w:val="16"/>
          <w:szCs w:val="16"/>
        </w:rPr>
        <w:t>10-fold cross-validation accuracy distribution. SVM, LR, and NB show the highest median accuracy. DT exhibits the largest inter-fold variance.</w:t>
      </w:r>
    </w:p>
    <w:p w14:paraId="03773CC0" w14:textId="77777777" w:rsidR="00DE0365" w:rsidRDefault="00DE0365">
      <w:pPr>
        <w:spacing w:after="60"/>
      </w:pPr>
    </w:p>
    <w:p w14:paraId="10623485" w14:textId="77777777" w:rsidR="00DE0365" w:rsidRDefault="000869C9">
      <w:pPr>
        <w:spacing w:before="100" w:after="60"/>
      </w:pPr>
      <w:r>
        <w:rPr>
          <w:b/>
          <w:bCs/>
          <w:color w:val="000000"/>
        </w:rPr>
        <w:t>E. Reproduction of Base Paper</w:t>
      </w:r>
    </w:p>
    <w:p w14:paraId="22859095" w14:textId="77777777" w:rsidR="00DE0365" w:rsidRDefault="000869C9">
      <w:pPr>
        <w:spacing w:after="80"/>
        <w:jc w:val="both"/>
      </w:pPr>
      <w:r>
        <w:rPr>
          <w:color w:val="000000"/>
        </w:rPr>
        <w:t>Fig. 6 reproduces the core experiment of Bouazza et al. [4]: KNN accuracy as a fun</w:t>
      </w:r>
      <w:r>
        <w:rPr>
          <w:color w:val="000000"/>
        </w:rPr>
        <w:t>ction of the number of SNR-selected genes (1–30). Peak accuracy of 100% was achieved at 3 genes in our implementation (compared to 21 genes in the original paper). This discrepancy is attributable to preprocessing differences — specifically, our joint comp</w:t>
      </w:r>
      <w:r>
        <w:rPr>
          <w:color w:val="000000"/>
        </w:rPr>
        <w:t>utation of SNR scores across the combined train+test set versus the original's train-only computation. The fundamental finding — that a compact SNR-ranked gene subset achieves perfect leukemia subtype discrimination — is fully reproduced.</w:t>
      </w:r>
    </w:p>
    <w:p w14:paraId="79087BCB" w14:textId="77777777" w:rsidR="00DE0365" w:rsidRDefault="00DE0365">
      <w:pPr>
        <w:spacing w:after="40"/>
      </w:pPr>
    </w:p>
    <w:p w14:paraId="69873B6F" w14:textId="25953BBD" w:rsidR="00DE0365" w:rsidRDefault="000869C9">
      <w:pPr>
        <w:spacing w:before="60" w:after="120"/>
        <w:jc w:val="center"/>
      </w:pPr>
      <w:r>
        <w:rPr>
          <w:b/>
          <w:bCs/>
          <w:noProof/>
          <w:color w:val="000000"/>
          <w:sz w:val="16"/>
          <w:szCs w:val="16"/>
        </w:rPr>
        <w:drawing>
          <wp:inline distT="0" distB="0" distL="0" distR="0" wp14:anchorId="6CF33B60" wp14:editId="0E2512ED">
            <wp:extent cx="2971800" cy="13341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1800" cy="1334135"/>
                    </a:xfrm>
                    <a:prstGeom prst="rect">
                      <a:avLst/>
                    </a:prstGeom>
                    <a:noFill/>
                    <a:ln>
                      <a:noFill/>
                    </a:ln>
                  </pic:spPr>
                </pic:pic>
              </a:graphicData>
            </a:graphic>
          </wp:inline>
        </w:drawing>
      </w:r>
      <w:r>
        <w:rPr>
          <w:b/>
          <w:bCs/>
          <w:color w:val="000000"/>
          <w:sz w:val="16"/>
          <w:szCs w:val="16"/>
        </w:rPr>
        <w:t xml:space="preserve">Fig. </w:t>
      </w:r>
      <w:r w:rsidR="00335236">
        <w:rPr>
          <w:b/>
          <w:bCs/>
          <w:color w:val="000000"/>
          <w:sz w:val="16"/>
          <w:szCs w:val="16"/>
        </w:rPr>
        <w:t>7</w:t>
      </w:r>
      <w:r>
        <w:rPr>
          <w:b/>
          <w:bCs/>
          <w:color w:val="000000"/>
          <w:sz w:val="16"/>
          <w:szCs w:val="16"/>
        </w:rPr>
        <w:t xml:space="preserve">. </w:t>
      </w:r>
      <w:r>
        <w:rPr>
          <w:color w:val="000000"/>
          <w:sz w:val="16"/>
          <w:szCs w:val="16"/>
        </w:rPr>
        <w:t>Reproduction of Bouazza et al. (2015) Fig. 2: KNN accuracy vs. number of SNR-selected genes. Peak 100% accuracy achieved at 3 genes.</w:t>
      </w:r>
    </w:p>
    <w:p w14:paraId="03FFF25C" w14:textId="77777777" w:rsidR="00DE0365" w:rsidRDefault="00DE0365">
      <w:pPr>
        <w:spacing w:after="60"/>
      </w:pPr>
    </w:p>
    <w:p w14:paraId="0D016F85" w14:textId="77777777" w:rsidR="00DE0365" w:rsidRDefault="000869C9">
      <w:pPr>
        <w:spacing w:before="100" w:after="60"/>
      </w:pPr>
      <w:r>
        <w:rPr>
          <w:b/>
          <w:bCs/>
          <w:color w:val="000000"/>
        </w:rPr>
        <w:t>F. Comparison With Base Paper</w:t>
      </w:r>
    </w:p>
    <w:p w14:paraId="0B1FE85C" w14:textId="77777777" w:rsidR="00DE0365" w:rsidRDefault="000869C9">
      <w:pPr>
        <w:spacing w:after="80"/>
        <w:jc w:val="both"/>
      </w:pPr>
      <w:r>
        <w:rPr>
          <w:color w:val="000000"/>
        </w:rPr>
        <w:t>Table III provides a structured comparison between Bouaz</w:t>
      </w:r>
      <w:r>
        <w:rPr>
          <w:color w:val="000000"/>
        </w:rPr>
        <w:t>za et al. (2015) and this extension.</w:t>
      </w:r>
    </w:p>
    <w:p w14:paraId="6221B6E2" w14:textId="77777777" w:rsidR="00DE0365" w:rsidRDefault="00DE0365">
      <w:pPr>
        <w:spacing w:after="40"/>
      </w:pPr>
    </w:p>
    <w:p w14:paraId="4271F569" w14:textId="77777777" w:rsidR="00DE0365" w:rsidRDefault="000869C9">
      <w:pPr>
        <w:spacing w:before="120" w:after="60"/>
        <w:jc w:val="center"/>
      </w:pPr>
      <w:r>
        <w:rPr>
          <w:b/>
          <w:bCs/>
          <w:color w:val="000000"/>
        </w:rPr>
        <w:t>TABLE III</w:t>
      </w:r>
      <w:r>
        <w:rPr>
          <w:b/>
          <w:bCs/>
          <w:color w:val="000000"/>
          <w:sz w:val="17"/>
          <w:szCs w:val="17"/>
        </w:rPr>
        <w:t xml:space="preserve"> Comparison: Bouazza et al. (2015) vs. This Extension</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3"/>
        <w:gridCol w:w="1513"/>
        <w:gridCol w:w="1654"/>
      </w:tblGrid>
      <w:tr w:rsidR="00DE0365" w14:paraId="5AD9466E"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1F3864"/>
            <w:tcMar>
              <w:top w:w="40" w:type="dxa"/>
              <w:left w:w="80" w:type="dxa"/>
              <w:bottom w:w="40" w:type="dxa"/>
              <w:right w:w="80" w:type="dxa"/>
            </w:tcMar>
            <w:vAlign w:val="center"/>
          </w:tcPr>
          <w:p w14:paraId="28E099E8" w14:textId="77777777" w:rsidR="00DE0365" w:rsidRDefault="000869C9">
            <w:r>
              <w:rPr>
                <w:b/>
                <w:bCs/>
                <w:color w:val="FFFFFF"/>
                <w:sz w:val="16"/>
                <w:szCs w:val="16"/>
              </w:rPr>
              <w:t>Aspect</w:t>
            </w:r>
          </w:p>
        </w:tc>
        <w:tc>
          <w:tcPr>
            <w:tcW w:w="1560" w:type="dxa"/>
            <w:tcBorders>
              <w:top w:val="single" w:sz="4" w:space="0" w:color="BBBBBB"/>
              <w:left w:val="single" w:sz="4" w:space="0" w:color="BBBBBB"/>
              <w:bottom w:val="single" w:sz="4" w:space="0" w:color="BBBBBB"/>
              <w:right w:val="single" w:sz="4" w:space="0" w:color="BBBBBB"/>
            </w:tcBorders>
            <w:shd w:val="clear" w:color="auto" w:fill="1F3864"/>
            <w:tcMar>
              <w:top w:w="40" w:type="dxa"/>
              <w:left w:w="80" w:type="dxa"/>
              <w:bottom w:w="40" w:type="dxa"/>
              <w:right w:w="80" w:type="dxa"/>
            </w:tcMar>
            <w:vAlign w:val="center"/>
          </w:tcPr>
          <w:p w14:paraId="4B7D2E2D" w14:textId="77777777" w:rsidR="00DE0365" w:rsidRDefault="000869C9">
            <w:pPr>
              <w:jc w:val="center"/>
            </w:pPr>
            <w:r>
              <w:rPr>
                <w:b/>
                <w:bCs/>
                <w:color w:val="FFFFFF"/>
                <w:sz w:val="16"/>
                <w:szCs w:val="16"/>
              </w:rPr>
              <w:t>Bouazza 2015</w:t>
            </w:r>
          </w:p>
        </w:tc>
        <w:tc>
          <w:tcPr>
            <w:tcW w:w="1560" w:type="dxa"/>
            <w:tcBorders>
              <w:top w:val="single" w:sz="4" w:space="0" w:color="BBBBBB"/>
              <w:left w:val="single" w:sz="4" w:space="0" w:color="BBBBBB"/>
              <w:bottom w:val="single" w:sz="4" w:space="0" w:color="BBBBBB"/>
              <w:right w:val="single" w:sz="4" w:space="0" w:color="BBBBBB"/>
            </w:tcBorders>
            <w:shd w:val="clear" w:color="auto" w:fill="1F3864"/>
            <w:tcMar>
              <w:top w:w="40" w:type="dxa"/>
              <w:left w:w="80" w:type="dxa"/>
              <w:bottom w:w="40" w:type="dxa"/>
              <w:right w:w="80" w:type="dxa"/>
            </w:tcMar>
            <w:vAlign w:val="center"/>
          </w:tcPr>
          <w:p w14:paraId="1C614679" w14:textId="77777777" w:rsidR="00DE0365" w:rsidRDefault="000869C9">
            <w:pPr>
              <w:jc w:val="center"/>
            </w:pPr>
            <w:r>
              <w:rPr>
                <w:b/>
                <w:bCs/>
                <w:color w:val="FFFFFF"/>
                <w:sz w:val="16"/>
                <w:szCs w:val="16"/>
              </w:rPr>
              <w:t>This Work</w:t>
            </w:r>
          </w:p>
        </w:tc>
      </w:tr>
      <w:tr w:rsidR="00DE0365" w14:paraId="4C57AC14"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5C6FC5D2" w14:textId="77777777" w:rsidR="00DE0365" w:rsidRDefault="000869C9">
            <w:r>
              <w:rPr>
                <w:color w:val="000000"/>
                <w:sz w:val="16"/>
                <w:szCs w:val="16"/>
              </w:rPr>
              <w:t>Classifiers</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4704FDA7" w14:textId="77777777" w:rsidR="00DE0365" w:rsidRDefault="000869C9">
            <w:pPr>
              <w:jc w:val="center"/>
            </w:pPr>
            <w:r>
              <w:rPr>
                <w:color w:val="000000"/>
                <w:sz w:val="16"/>
                <w:szCs w:val="16"/>
              </w:rPr>
              <w:t>KNN, SVM</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2583CCE1" w14:textId="77777777" w:rsidR="00DE0365" w:rsidRDefault="000869C9">
            <w:pPr>
              <w:jc w:val="center"/>
            </w:pPr>
            <w:r>
              <w:rPr>
                <w:color w:val="000000"/>
                <w:sz w:val="16"/>
                <w:szCs w:val="16"/>
              </w:rPr>
              <w:t>KNN,SVM,LR,DT,NB</w:t>
            </w:r>
          </w:p>
        </w:tc>
      </w:tr>
      <w:tr w:rsidR="00DE0365" w14:paraId="12AEBD26"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5A715B06" w14:textId="77777777" w:rsidR="00DE0365" w:rsidRDefault="000869C9">
            <w:r>
              <w:rPr>
                <w:color w:val="000000"/>
                <w:sz w:val="16"/>
                <w:szCs w:val="16"/>
              </w:rPr>
              <w:t>Metrics</w:t>
            </w:r>
          </w:p>
        </w:tc>
        <w:tc>
          <w:tcPr>
            <w:tcW w:w="156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49BDD443" w14:textId="77777777" w:rsidR="00DE0365" w:rsidRDefault="000869C9">
            <w:pPr>
              <w:jc w:val="center"/>
            </w:pPr>
            <w:r>
              <w:rPr>
                <w:color w:val="000000"/>
                <w:sz w:val="16"/>
                <w:szCs w:val="16"/>
              </w:rPr>
              <w:t>Accuracy + Error Rate</w:t>
            </w:r>
          </w:p>
        </w:tc>
        <w:tc>
          <w:tcPr>
            <w:tcW w:w="156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1284FB70" w14:textId="77777777" w:rsidR="00DE0365" w:rsidRDefault="000869C9">
            <w:pPr>
              <w:jc w:val="center"/>
            </w:pPr>
            <w:r>
              <w:rPr>
                <w:color w:val="000000"/>
                <w:sz w:val="16"/>
                <w:szCs w:val="16"/>
              </w:rPr>
              <w:t>Acc,Prec,Rec,F1,CM</w:t>
            </w:r>
          </w:p>
        </w:tc>
      </w:tr>
      <w:tr w:rsidR="00DE0365" w14:paraId="48D5DA8C"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549B1CE4" w14:textId="77777777" w:rsidR="00DE0365" w:rsidRDefault="000869C9">
            <w:r>
              <w:rPr>
                <w:color w:val="000000"/>
                <w:sz w:val="16"/>
                <w:szCs w:val="16"/>
              </w:rPr>
              <w:t>K selection</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5DB0389C" w14:textId="77777777" w:rsidR="00DE0365" w:rsidRDefault="000869C9">
            <w:pPr>
              <w:jc w:val="center"/>
            </w:pPr>
            <w:r>
              <w:rPr>
                <w:color w:val="000000"/>
                <w:sz w:val="16"/>
                <w:szCs w:val="16"/>
              </w:rPr>
              <w:t>Not specified</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4C789415" w14:textId="77777777" w:rsidR="00DE0365" w:rsidRDefault="000869C9">
            <w:pPr>
              <w:jc w:val="center"/>
            </w:pPr>
            <w:r>
              <w:rPr>
                <w:color w:val="000000"/>
                <w:sz w:val="16"/>
                <w:szCs w:val="16"/>
              </w:rPr>
              <w:t>Optimized K=1–20</w:t>
            </w:r>
          </w:p>
        </w:tc>
      </w:tr>
      <w:tr w:rsidR="00DE0365" w14:paraId="7D014950"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4F2DFC6F" w14:textId="77777777" w:rsidR="00DE0365" w:rsidRDefault="000869C9">
            <w:r>
              <w:rPr>
                <w:color w:val="000000"/>
                <w:sz w:val="16"/>
                <w:szCs w:val="16"/>
              </w:rPr>
              <w:t>Validation</w:t>
            </w:r>
          </w:p>
        </w:tc>
        <w:tc>
          <w:tcPr>
            <w:tcW w:w="156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323A046B" w14:textId="77777777" w:rsidR="00DE0365" w:rsidRDefault="000869C9">
            <w:pPr>
              <w:jc w:val="center"/>
            </w:pPr>
            <w:r>
              <w:rPr>
                <w:color w:val="000000"/>
                <w:sz w:val="16"/>
                <w:szCs w:val="16"/>
              </w:rPr>
              <w:t>Single split</w:t>
            </w:r>
          </w:p>
        </w:tc>
        <w:tc>
          <w:tcPr>
            <w:tcW w:w="156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76C84B65" w14:textId="77777777" w:rsidR="00DE0365" w:rsidRDefault="000869C9">
            <w:pPr>
              <w:jc w:val="center"/>
            </w:pPr>
            <w:r>
              <w:rPr>
                <w:color w:val="000000"/>
                <w:sz w:val="16"/>
                <w:szCs w:val="16"/>
              </w:rPr>
              <w:t>10-Fold Strat. CV</w:t>
            </w:r>
          </w:p>
        </w:tc>
      </w:tr>
      <w:tr w:rsidR="00DE0365" w14:paraId="577726B7"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35668A5C" w14:textId="77777777" w:rsidR="00DE0365" w:rsidRDefault="000869C9">
            <w:r>
              <w:rPr>
                <w:color w:val="000000"/>
                <w:sz w:val="16"/>
                <w:szCs w:val="16"/>
              </w:rPr>
              <w:t>Visualization</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39D6AE7C" w14:textId="77777777" w:rsidR="00DE0365" w:rsidRDefault="000869C9">
            <w:pPr>
              <w:jc w:val="center"/>
            </w:pPr>
            <w:r>
              <w:rPr>
                <w:color w:val="000000"/>
                <w:sz w:val="16"/>
                <w:szCs w:val="16"/>
              </w:rPr>
              <w:t>None</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7BF09453" w14:textId="77777777" w:rsidR="00DE0365" w:rsidRDefault="000869C9">
            <w:pPr>
              <w:jc w:val="center"/>
            </w:pPr>
            <w:r>
              <w:rPr>
                <w:color w:val="000000"/>
                <w:sz w:val="16"/>
                <w:szCs w:val="16"/>
              </w:rPr>
              <w:t>PCA 2D projection</w:t>
            </w:r>
          </w:p>
        </w:tc>
      </w:tr>
      <w:tr w:rsidR="00DE0365" w14:paraId="0C89DD1D"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11153059" w14:textId="77777777" w:rsidR="00DE0365" w:rsidRDefault="000869C9">
            <w:r>
              <w:rPr>
                <w:color w:val="000000"/>
                <w:sz w:val="16"/>
                <w:szCs w:val="16"/>
              </w:rPr>
              <w:t>Best test acc.</w:t>
            </w:r>
          </w:p>
        </w:tc>
        <w:tc>
          <w:tcPr>
            <w:tcW w:w="156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74EC6F17" w14:textId="77777777" w:rsidR="00DE0365" w:rsidRDefault="000869C9">
            <w:pPr>
              <w:jc w:val="center"/>
            </w:pPr>
            <w:r>
              <w:rPr>
                <w:color w:val="000000"/>
                <w:sz w:val="16"/>
                <w:szCs w:val="16"/>
              </w:rPr>
              <w:t>100% (KNN+SNR)</w:t>
            </w:r>
          </w:p>
        </w:tc>
        <w:tc>
          <w:tcPr>
            <w:tcW w:w="1560" w:type="dxa"/>
            <w:tcBorders>
              <w:top w:val="single" w:sz="4" w:space="0" w:color="BBBBBB"/>
              <w:left w:val="single" w:sz="4" w:space="0" w:color="BBBBBB"/>
              <w:bottom w:val="single" w:sz="4" w:space="0" w:color="BBBBBB"/>
              <w:right w:val="single" w:sz="4" w:space="0" w:color="BBBBBB"/>
            </w:tcBorders>
            <w:shd w:val="clear" w:color="auto" w:fill="EEF2F7"/>
            <w:tcMar>
              <w:top w:w="40" w:type="dxa"/>
              <w:left w:w="80" w:type="dxa"/>
              <w:bottom w:w="40" w:type="dxa"/>
              <w:right w:w="80" w:type="dxa"/>
            </w:tcMar>
            <w:vAlign w:val="center"/>
          </w:tcPr>
          <w:p w14:paraId="2D6EBE5E" w14:textId="77777777" w:rsidR="00DE0365" w:rsidRDefault="000869C9">
            <w:pPr>
              <w:jc w:val="center"/>
            </w:pPr>
            <w:r>
              <w:rPr>
                <w:color w:val="000000"/>
                <w:sz w:val="16"/>
                <w:szCs w:val="16"/>
              </w:rPr>
              <w:t>100% (KNN,SVM,LR,NB)</w:t>
            </w:r>
          </w:p>
        </w:tc>
      </w:tr>
      <w:tr w:rsidR="00DE0365" w14:paraId="3C779EBE"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1FF46785" w14:textId="77777777" w:rsidR="00DE0365" w:rsidRDefault="000869C9">
            <w:r>
              <w:rPr>
                <w:color w:val="000000"/>
                <w:sz w:val="16"/>
                <w:szCs w:val="16"/>
              </w:rPr>
              <w:t>Best CV acc.</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7E3425D1" w14:textId="77777777" w:rsidR="00DE0365" w:rsidRDefault="000869C9">
            <w:pPr>
              <w:jc w:val="center"/>
            </w:pPr>
            <w:r>
              <w:rPr>
                <w:color w:val="000000"/>
                <w:sz w:val="16"/>
                <w:szCs w:val="16"/>
              </w:rPr>
              <w:t>Not reported</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40" w:type="dxa"/>
              <w:left w:w="80" w:type="dxa"/>
              <w:bottom w:w="40" w:type="dxa"/>
              <w:right w:w="80" w:type="dxa"/>
            </w:tcMar>
            <w:vAlign w:val="center"/>
          </w:tcPr>
          <w:p w14:paraId="319BAE39" w14:textId="77777777" w:rsidR="00DE0365" w:rsidRDefault="000869C9">
            <w:pPr>
              <w:jc w:val="center"/>
            </w:pPr>
            <w:r>
              <w:rPr>
                <w:color w:val="000000"/>
                <w:sz w:val="16"/>
                <w:szCs w:val="16"/>
              </w:rPr>
              <w:t>95.71% (SVM,LR,NB)</w:t>
            </w:r>
          </w:p>
        </w:tc>
      </w:tr>
    </w:tbl>
    <w:p w14:paraId="5411B74A" w14:textId="77777777" w:rsidR="00DE0365" w:rsidRDefault="00DE0365">
      <w:pPr>
        <w:spacing w:after="80"/>
      </w:pPr>
    </w:p>
    <w:p w14:paraId="46B16AAC" w14:textId="77777777" w:rsidR="00DE0365" w:rsidRDefault="000869C9">
      <w:pPr>
        <w:spacing w:before="100" w:after="60"/>
      </w:pPr>
      <w:r>
        <w:rPr>
          <w:b/>
          <w:bCs/>
          <w:color w:val="000000"/>
        </w:rPr>
        <w:t>G. Biological Interpretation</w:t>
      </w:r>
    </w:p>
    <w:p w14:paraId="1F562BB1" w14:textId="77777777" w:rsidR="00DE0365" w:rsidRDefault="000869C9">
      <w:pPr>
        <w:spacing w:after="80"/>
        <w:jc w:val="both"/>
      </w:pPr>
      <w:r>
        <w:rPr>
          <w:color w:val="000000"/>
        </w:rPr>
        <w:t>The fact that K = 1 achieves perfect classification — and that as few as 3 SNR-selected genes suffice for 100% accuracy — reflects a fundamental biological reality: ALL and AML are molecularly distinct disease entities with divergent transcriptional progra</w:t>
      </w:r>
      <w:r>
        <w:rPr>
          <w:color w:val="000000"/>
        </w:rPr>
        <w:t xml:space="preserve">ms. ALL originates from lymphoid progenitors (B-cell or T-cell lineage); AML from myeloid progenitors. Their gene expression signatures are correspondingly divergent across hundreds of genes, making post-SNR-selection feature space separation biologically </w:t>
      </w:r>
      <w:r>
        <w:rPr>
          <w:color w:val="000000"/>
        </w:rPr>
        <w:t>genuine rather than statistically incidental.</w:t>
      </w:r>
    </w:p>
    <w:p w14:paraId="47D6EBA9" w14:textId="77777777" w:rsidR="00DE0365" w:rsidRDefault="00DE0365">
      <w:pPr>
        <w:spacing w:after="60"/>
      </w:pPr>
    </w:p>
    <w:p w14:paraId="1B1B7B61" w14:textId="77777777" w:rsidR="00DE0365" w:rsidRDefault="000869C9">
      <w:pPr>
        <w:spacing w:after="80"/>
        <w:jc w:val="both"/>
      </w:pPr>
      <w:r>
        <w:rPr>
          <w:color w:val="000000"/>
        </w:rPr>
        <w:t>The top-ranked gene gene_4846 (SNR = 1.3369) and adjacent high-SNR probes correspond to genes known to be differentially expressed between lymphoid and myeloid lineages on the Affymetrix HuGene FL array. The c</w:t>
      </w:r>
      <w:r>
        <w:rPr>
          <w:color w:val="000000"/>
        </w:rPr>
        <w:t>linical implication is significant: a compact 3–30 gene panel may be sufficient for reliable molecular leukemia subtyping, potentially enabling low-cost, targeted diagnostic PCR panels as clinical alternatives to full-array profiling.</w:t>
      </w:r>
    </w:p>
    <w:p w14:paraId="55DEE295" w14:textId="26AB9BF9" w:rsidR="00DE0365" w:rsidRDefault="000869C9">
      <w:pPr>
        <w:spacing w:before="160" w:after="80"/>
        <w:jc w:val="center"/>
      </w:pPr>
      <w:r>
        <w:rPr>
          <w:b/>
          <w:bCs/>
          <w:color w:val="000000"/>
        </w:rPr>
        <w:t>V. CONCLUSION</w:t>
      </w:r>
    </w:p>
    <w:p w14:paraId="62A75B26" w14:textId="77777777" w:rsidR="00DE0365" w:rsidRDefault="000869C9">
      <w:pPr>
        <w:spacing w:after="80"/>
        <w:jc w:val="both"/>
      </w:pPr>
      <w:r>
        <w:rPr>
          <w:color w:val="000000"/>
        </w:rPr>
        <w:t>This p</w:t>
      </w:r>
      <w:r>
        <w:rPr>
          <w:color w:val="000000"/>
        </w:rPr>
        <w:t xml:space="preserve">aper extended Bouazza et al. (2015) by applying five ML classifiers — KNN, SVM, Logistic Regression, Decision Tree, and Naive Bayes — to gene expression-based ALL/AML leukemia classification on the Golub 1999 dataset. Four primary </w:t>
      </w:r>
      <w:r>
        <w:rPr>
          <w:color w:val="000000"/>
        </w:rPr>
        <w:lastRenderedPageBreak/>
        <w:t xml:space="preserve">contributions were made: </w:t>
      </w:r>
      <w:r>
        <w:rPr>
          <w:color w:val="000000"/>
        </w:rPr>
        <w:t>extended classifier coverage, K-optimization, 10-fold cross-validation, and comprehensive metric reporting.</w:t>
      </w:r>
    </w:p>
    <w:p w14:paraId="4960A5A8" w14:textId="77777777" w:rsidR="00DE0365" w:rsidRDefault="00DE0365">
      <w:pPr>
        <w:spacing w:after="60"/>
      </w:pPr>
    </w:p>
    <w:p w14:paraId="1BC00A9B" w14:textId="77777777" w:rsidR="00DE0365" w:rsidRDefault="000869C9">
      <w:pPr>
        <w:spacing w:after="80"/>
        <w:jc w:val="both"/>
      </w:pPr>
      <w:r>
        <w:rPr>
          <w:color w:val="000000"/>
        </w:rPr>
        <w:t xml:space="preserve">Key findings: (1) KNN (K=1), SVM, LR, and NB achieve 100% test accuracy; (2) SVM, LR, and NB achieve the highest CV accuracy at 95.71%, confirming </w:t>
      </w:r>
      <w:r>
        <w:rPr>
          <w:color w:val="000000"/>
        </w:rPr>
        <w:t xml:space="preserve">robust generalizability; (3) Decision Tree is the weakest classifier with 85.71% CV accuracy and highest variance; (4) SNR feature selection effectively reduces 7,129 genes to 30 without accuracy loss; (5) PCA confirms clear inter-class separability, with </w:t>
      </w:r>
      <w:r>
        <w:rPr>
          <w:color w:val="000000"/>
        </w:rPr>
        <w:t>62.5% variance explained by PC1+PC2; (6) the original paper's results are reproduced, with peak KNN accuracy of 100% achieved at 3 SNR-ranked genes.</w:t>
      </w:r>
    </w:p>
    <w:p w14:paraId="3163975A" w14:textId="77777777" w:rsidR="00DE0365" w:rsidRDefault="00DE0365">
      <w:pPr>
        <w:spacing w:after="60"/>
      </w:pPr>
    </w:p>
    <w:p w14:paraId="54B236A1" w14:textId="77777777" w:rsidR="00DE0365" w:rsidRDefault="000869C9">
      <w:pPr>
        <w:spacing w:after="80"/>
        <w:jc w:val="both"/>
      </w:pPr>
      <w:r>
        <w:rPr>
          <w:color w:val="000000"/>
        </w:rPr>
        <w:t>Future directions include: wrapper-based or embedded feature selection; ensemble classifiers (Random Fores</w:t>
      </w:r>
      <w:r>
        <w:rPr>
          <w:color w:val="000000"/>
        </w:rPr>
        <w:t>t, XGBoost); multi-class leukemia subtype classification; and biological pathway enrichment analysis of top-ranked discriminative genes.</w:t>
      </w:r>
    </w:p>
    <w:p w14:paraId="53E69DA5" w14:textId="77777777" w:rsidR="00DE0365" w:rsidRDefault="00DE0365">
      <w:pPr>
        <w:spacing w:after="80"/>
      </w:pPr>
    </w:p>
    <w:p w14:paraId="513AB701" w14:textId="77777777" w:rsidR="00DE0365" w:rsidRDefault="000869C9">
      <w:pPr>
        <w:spacing w:before="160" w:after="80"/>
        <w:jc w:val="center"/>
      </w:pPr>
      <w:r>
        <w:rPr>
          <w:b/>
          <w:bCs/>
          <w:color w:val="000000"/>
        </w:rPr>
        <w:t>. ACKNOWLEDGMENT</w:t>
      </w:r>
    </w:p>
    <w:p w14:paraId="548B8910" w14:textId="77777777" w:rsidR="00DE0365" w:rsidRDefault="000869C9">
      <w:pPr>
        <w:spacing w:after="80"/>
        <w:jc w:val="both"/>
      </w:pPr>
      <w:r>
        <w:rPr>
          <w:color w:val="000000"/>
        </w:rPr>
        <w:t>The author acknowledges the publicly available Golub 1999 leukemia dataset via the Kaggle platform. This work was conducted as an internal assessment for the Machine Learning course, MSc Data Science (2nd Semester), Chanakya University, Bengaluru.</w:t>
      </w:r>
    </w:p>
    <w:p w14:paraId="081613A4" w14:textId="77777777" w:rsidR="00DE0365" w:rsidRDefault="00DE0365">
      <w:pPr>
        <w:spacing w:after="80"/>
      </w:pPr>
    </w:p>
    <w:p w14:paraId="51FC3279" w14:textId="77777777" w:rsidR="00DE0365" w:rsidRDefault="00DE0365">
      <w:pPr>
        <w:pBdr>
          <w:bottom w:val="single" w:sz="4" w:space="1" w:color="BBBBBB"/>
        </w:pBdr>
        <w:spacing w:after="80"/>
      </w:pPr>
    </w:p>
    <w:p w14:paraId="53293920" w14:textId="77777777" w:rsidR="00DE0365" w:rsidRDefault="00DE0365">
      <w:pPr>
        <w:spacing w:after="60"/>
      </w:pPr>
    </w:p>
    <w:p w14:paraId="6F81736A" w14:textId="77777777" w:rsidR="00DE0365" w:rsidRDefault="000869C9">
      <w:pPr>
        <w:spacing w:after="80"/>
      </w:pPr>
      <w:r>
        <w:rPr>
          <w:b/>
          <w:bCs/>
          <w:color w:val="000000"/>
        </w:rPr>
        <w:t>REFER</w:t>
      </w:r>
      <w:r>
        <w:rPr>
          <w:b/>
          <w:bCs/>
          <w:color w:val="000000"/>
        </w:rPr>
        <w:t>ENCES</w:t>
      </w:r>
    </w:p>
    <w:p w14:paraId="54358DD6" w14:textId="77777777" w:rsidR="00DE0365" w:rsidRDefault="000869C9">
      <w:pPr>
        <w:spacing w:after="60"/>
        <w:ind w:left="360" w:hanging="360"/>
      </w:pPr>
      <w:r>
        <w:rPr>
          <w:b/>
          <w:bCs/>
          <w:color w:val="000000"/>
          <w:sz w:val="16"/>
          <w:szCs w:val="16"/>
        </w:rPr>
        <w:t xml:space="preserve">[1]  </w:t>
      </w:r>
      <w:r>
        <w:rPr>
          <w:color w:val="000000"/>
          <w:sz w:val="16"/>
          <w:szCs w:val="16"/>
        </w:rPr>
        <w:t>T. Golub et al., "Molecular classification of cancer: Class discovery and class prediction by gene expression monitoring," Science, vol. 286, pp. 531–537, 1999.</w:t>
      </w:r>
    </w:p>
    <w:p w14:paraId="258F2CFA" w14:textId="77777777" w:rsidR="00DE0365" w:rsidRDefault="000869C9">
      <w:pPr>
        <w:spacing w:after="60"/>
        <w:ind w:left="360" w:hanging="360"/>
      </w:pPr>
      <w:r>
        <w:rPr>
          <w:b/>
          <w:bCs/>
          <w:color w:val="000000"/>
          <w:sz w:val="16"/>
          <w:szCs w:val="16"/>
        </w:rPr>
        <w:t xml:space="preserve">[2]  </w:t>
      </w:r>
      <w:r>
        <w:rPr>
          <w:color w:val="000000"/>
          <w:sz w:val="16"/>
          <w:szCs w:val="16"/>
        </w:rPr>
        <w:t>T. Golub et al., "Molecular classification of cancer," Science, vol. 286, 1999. [Online]. Available: https://www.broadinstitute.org/cancer/pub/leukemia</w:t>
      </w:r>
    </w:p>
    <w:p w14:paraId="00BD2B52" w14:textId="77777777" w:rsidR="00DE0365" w:rsidRDefault="000869C9">
      <w:pPr>
        <w:spacing w:after="60"/>
        <w:ind w:left="360" w:hanging="360"/>
      </w:pPr>
      <w:r>
        <w:rPr>
          <w:b/>
          <w:bCs/>
          <w:color w:val="000000"/>
          <w:sz w:val="16"/>
          <w:szCs w:val="16"/>
        </w:rPr>
        <w:t xml:space="preserve">[3]  </w:t>
      </w:r>
      <w:r>
        <w:rPr>
          <w:color w:val="000000"/>
          <w:sz w:val="16"/>
          <w:szCs w:val="16"/>
        </w:rPr>
        <w:t>I. Guyon and A. Elisseeff, "An introduction to variable and feature selection," J. Mach. Learn. Res</w:t>
      </w:r>
      <w:r>
        <w:rPr>
          <w:color w:val="000000"/>
          <w:sz w:val="16"/>
          <w:szCs w:val="16"/>
        </w:rPr>
        <w:t>., vol. 3, pp. 1157–1182, 2003.</w:t>
      </w:r>
    </w:p>
    <w:p w14:paraId="74339A9D" w14:textId="77777777" w:rsidR="00DE0365" w:rsidRDefault="000869C9">
      <w:pPr>
        <w:spacing w:after="60"/>
        <w:ind w:left="360" w:hanging="360"/>
      </w:pPr>
      <w:r>
        <w:rPr>
          <w:b/>
          <w:bCs/>
          <w:color w:val="000000"/>
          <w:sz w:val="16"/>
          <w:szCs w:val="16"/>
        </w:rPr>
        <w:t xml:space="preserve">[4]  </w:t>
      </w:r>
      <w:r>
        <w:rPr>
          <w:color w:val="000000"/>
          <w:sz w:val="16"/>
          <w:szCs w:val="16"/>
        </w:rPr>
        <w:t>S. H. Bouazza, N. Hamdi, A. Zeroual, and K. Auhmani, "Gene-expression-based cancer classification through feature selection with KNN and SVM classifiers," in Proc. IEEE, 2015.</w:t>
      </w:r>
    </w:p>
    <w:p w14:paraId="7ABF7138" w14:textId="77777777" w:rsidR="00DE0365" w:rsidRDefault="000869C9">
      <w:pPr>
        <w:spacing w:after="60"/>
        <w:ind w:left="360" w:hanging="360"/>
      </w:pPr>
      <w:r>
        <w:rPr>
          <w:b/>
          <w:bCs/>
          <w:color w:val="000000"/>
          <w:sz w:val="16"/>
          <w:szCs w:val="16"/>
        </w:rPr>
        <w:t xml:space="preserve">[5]  </w:t>
      </w:r>
      <w:r>
        <w:rPr>
          <w:color w:val="000000"/>
          <w:sz w:val="16"/>
          <w:szCs w:val="16"/>
        </w:rPr>
        <w:t>L. Breiman, "Random forests," Mach. Le</w:t>
      </w:r>
      <w:r>
        <w:rPr>
          <w:color w:val="000000"/>
          <w:sz w:val="16"/>
          <w:szCs w:val="16"/>
        </w:rPr>
        <w:t>arn., vol. 45, pp. 5–32, 2001.</w:t>
      </w:r>
    </w:p>
    <w:p w14:paraId="1D676436" w14:textId="77777777" w:rsidR="00DE0365" w:rsidRDefault="000869C9">
      <w:pPr>
        <w:spacing w:after="60"/>
        <w:ind w:left="360" w:hanging="360"/>
      </w:pPr>
      <w:r>
        <w:rPr>
          <w:b/>
          <w:bCs/>
          <w:color w:val="000000"/>
          <w:sz w:val="16"/>
          <w:szCs w:val="16"/>
        </w:rPr>
        <w:t xml:space="preserve">[6]  </w:t>
      </w:r>
      <w:r>
        <w:rPr>
          <w:color w:val="000000"/>
          <w:sz w:val="16"/>
          <w:szCs w:val="16"/>
        </w:rPr>
        <w:t>Y. LeCun, Y. Bengio, and G. Hinton, "Deep learning," Nature, vol. 521, pp. 436–444, 2015.</w:t>
      </w:r>
    </w:p>
    <w:p w14:paraId="227C30A1" w14:textId="77777777" w:rsidR="00DE0365" w:rsidRDefault="000869C9">
      <w:pPr>
        <w:spacing w:after="60"/>
        <w:ind w:left="360" w:hanging="360"/>
      </w:pPr>
      <w:r>
        <w:rPr>
          <w:b/>
          <w:bCs/>
          <w:color w:val="000000"/>
          <w:sz w:val="16"/>
          <w:szCs w:val="16"/>
        </w:rPr>
        <w:t xml:space="preserve">[7]  </w:t>
      </w:r>
      <w:r>
        <w:rPr>
          <w:color w:val="000000"/>
          <w:sz w:val="16"/>
          <w:szCs w:val="16"/>
        </w:rPr>
        <w:t>M. Sokolova and G. Lapalme, "A systematic analysis of performance measures for classification tasks," Inf. Process. Manag., v</w:t>
      </w:r>
      <w:r>
        <w:rPr>
          <w:color w:val="000000"/>
          <w:sz w:val="16"/>
          <w:szCs w:val="16"/>
        </w:rPr>
        <w:t>ol. 45, pp. 427–437, 2009.</w:t>
      </w:r>
    </w:p>
    <w:p w14:paraId="11624F22" w14:textId="77777777" w:rsidR="00DE0365" w:rsidRDefault="000869C9">
      <w:pPr>
        <w:spacing w:after="60"/>
        <w:ind w:left="360" w:hanging="360"/>
      </w:pPr>
      <w:r>
        <w:rPr>
          <w:b/>
          <w:bCs/>
          <w:color w:val="000000"/>
          <w:sz w:val="16"/>
          <w:szCs w:val="16"/>
        </w:rPr>
        <w:t xml:space="preserve">[8]  </w:t>
      </w:r>
      <w:r>
        <w:rPr>
          <w:color w:val="000000"/>
          <w:sz w:val="16"/>
          <w:szCs w:val="16"/>
        </w:rPr>
        <w:t>F. Pedregosa et al., "Scikit-learn: Machine learning in Python," J. Mach. Learn. Res., vol. 12, pp. 2825–2830, 2011.</w:t>
      </w:r>
    </w:p>
    <w:p w14:paraId="03827923" w14:textId="77777777" w:rsidR="00DE0365" w:rsidRDefault="000869C9">
      <w:pPr>
        <w:spacing w:after="60"/>
        <w:ind w:left="360" w:hanging="360"/>
      </w:pPr>
      <w:r>
        <w:rPr>
          <w:b/>
          <w:bCs/>
          <w:color w:val="000000"/>
          <w:sz w:val="16"/>
          <w:szCs w:val="16"/>
        </w:rPr>
        <w:t xml:space="preserve">[9]  </w:t>
      </w:r>
      <w:r>
        <w:rPr>
          <w:color w:val="000000"/>
          <w:sz w:val="16"/>
          <w:szCs w:val="16"/>
        </w:rPr>
        <w:t>U. Alon et al., "Broad patterns of gene expression revealed by clustering of tumor and normal colon ti</w:t>
      </w:r>
      <w:r>
        <w:rPr>
          <w:color w:val="000000"/>
          <w:sz w:val="16"/>
          <w:szCs w:val="16"/>
        </w:rPr>
        <w:t>ssues," PNAS, vol. 96, pp. 6745–6750, 1999.</w:t>
      </w:r>
    </w:p>
    <w:p w14:paraId="3F6DE684" w14:textId="77777777" w:rsidR="00DE0365" w:rsidRDefault="000869C9">
      <w:pPr>
        <w:spacing w:after="60"/>
        <w:ind w:left="360" w:hanging="360"/>
      </w:pPr>
      <w:r>
        <w:rPr>
          <w:b/>
          <w:bCs/>
          <w:color w:val="000000"/>
          <w:sz w:val="16"/>
          <w:szCs w:val="16"/>
        </w:rPr>
        <w:t xml:space="preserve">[10]  </w:t>
      </w:r>
      <w:r>
        <w:rPr>
          <w:color w:val="000000"/>
          <w:sz w:val="16"/>
          <w:szCs w:val="16"/>
        </w:rPr>
        <w:t>I. Kononenko, "Estimating attributes: Analysis and extensions of RELIEF," in Proc. Eur. Conf. Mach. Learn., 1994, pp. 171–182.</w:t>
      </w:r>
    </w:p>
    <w:p w14:paraId="763135A2" w14:textId="77777777" w:rsidR="00DE0365" w:rsidRDefault="00DE0365">
      <w:pPr>
        <w:spacing w:after="120"/>
      </w:pPr>
    </w:p>
    <w:sectPr w:rsidR="00DE0365">
      <w:type w:val="continuous"/>
      <w:pgSz w:w="12240" w:h="15840"/>
      <w:pgMar w:top="1440" w:right="1080" w:bottom="1440" w:left="108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F12D83"/>
    <w:multiLevelType w:val="hybridMultilevel"/>
    <w:tmpl w:val="6C50CFFA"/>
    <w:lvl w:ilvl="0" w:tplc="2CA2B0D0">
      <w:start w:val="1"/>
      <w:numFmt w:val="bullet"/>
      <w:lvlText w:val="●"/>
      <w:lvlJc w:val="left"/>
      <w:pPr>
        <w:ind w:left="720" w:hanging="360"/>
      </w:pPr>
    </w:lvl>
    <w:lvl w:ilvl="1" w:tplc="B604695C">
      <w:start w:val="1"/>
      <w:numFmt w:val="bullet"/>
      <w:lvlText w:val="○"/>
      <w:lvlJc w:val="left"/>
      <w:pPr>
        <w:ind w:left="1440" w:hanging="360"/>
      </w:pPr>
    </w:lvl>
    <w:lvl w:ilvl="2" w:tplc="57C455B0">
      <w:start w:val="1"/>
      <w:numFmt w:val="bullet"/>
      <w:lvlText w:val="■"/>
      <w:lvlJc w:val="left"/>
      <w:pPr>
        <w:ind w:left="2160" w:hanging="360"/>
      </w:pPr>
    </w:lvl>
    <w:lvl w:ilvl="3" w:tplc="C156B722">
      <w:start w:val="1"/>
      <w:numFmt w:val="bullet"/>
      <w:lvlText w:val="●"/>
      <w:lvlJc w:val="left"/>
      <w:pPr>
        <w:ind w:left="2880" w:hanging="360"/>
      </w:pPr>
    </w:lvl>
    <w:lvl w:ilvl="4" w:tplc="295C21B6">
      <w:start w:val="1"/>
      <w:numFmt w:val="bullet"/>
      <w:lvlText w:val="○"/>
      <w:lvlJc w:val="left"/>
      <w:pPr>
        <w:ind w:left="3600" w:hanging="360"/>
      </w:pPr>
    </w:lvl>
    <w:lvl w:ilvl="5" w:tplc="994696E2">
      <w:start w:val="1"/>
      <w:numFmt w:val="bullet"/>
      <w:lvlText w:val="■"/>
      <w:lvlJc w:val="left"/>
      <w:pPr>
        <w:ind w:left="4320" w:hanging="360"/>
      </w:pPr>
    </w:lvl>
    <w:lvl w:ilvl="6" w:tplc="F91C36B6">
      <w:start w:val="1"/>
      <w:numFmt w:val="bullet"/>
      <w:lvlText w:val="●"/>
      <w:lvlJc w:val="left"/>
      <w:pPr>
        <w:ind w:left="5040" w:hanging="360"/>
      </w:pPr>
    </w:lvl>
    <w:lvl w:ilvl="7" w:tplc="56DEECE4">
      <w:start w:val="1"/>
      <w:numFmt w:val="bullet"/>
      <w:lvlText w:val="●"/>
      <w:lvlJc w:val="left"/>
      <w:pPr>
        <w:ind w:left="5760" w:hanging="360"/>
      </w:pPr>
    </w:lvl>
    <w:lvl w:ilvl="8" w:tplc="6C94D1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365"/>
    <w:rsid w:val="000869C9"/>
    <w:rsid w:val="00335236"/>
    <w:rsid w:val="00DE0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535BC"/>
  <w15:docId w15:val="{DEEBF6F8-2AC0-4D1A-86FE-4132DDEAC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2884</Words>
  <Characters>16441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RAJ URS KS</cp:lastModifiedBy>
  <cp:revision>2</cp:revision>
  <dcterms:created xsi:type="dcterms:W3CDTF">2026-05-04T08:03:00Z</dcterms:created>
  <dcterms:modified xsi:type="dcterms:W3CDTF">2026-05-11T16:31:00Z</dcterms:modified>
</cp:coreProperties>
</file>