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3A66" w:rsidRPr="00412FB5" w:rsidRDefault="00BD347F">
      <w:pPr>
        <w:spacing w:after="18" w:line="259" w:lineRule="auto"/>
        <w:jc w:val="center"/>
        <w:rPr>
          <w:color w:val="0D0D0D" w:themeColor="text1" w:themeTint="F2"/>
        </w:rPr>
      </w:pPr>
      <w:r w:rsidRPr="00412FB5">
        <w:rPr>
          <w:b/>
          <w:color w:val="0D0D0D" w:themeColor="text1" w:themeTint="F2"/>
          <w:sz w:val="34"/>
        </w:rPr>
        <w:t>Machine Learning Models in Stock Market Prediction:</w:t>
      </w:r>
    </w:p>
    <w:p w:rsidR="00793A66" w:rsidRPr="00412FB5" w:rsidRDefault="00BD347F">
      <w:pPr>
        <w:spacing w:after="18" w:line="259" w:lineRule="auto"/>
        <w:jc w:val="center"/>
        <w:rPr>
          <w:color w:val="0D0D0D" w:themeColor="text1" w:themeTint="F2"/>
        </w:rPr>
      </w:pPr>
      <w:r w:rsidRPr="00412FB5">
        <w:rPr>
          <w:b/>
          <w:color w:val="0D0D0D" w:themeColor="text1" w:themeTint="F2"/>
          <w:sz w:val="34"/>
        </w:rPr>
        <w:t>A Comparative Study of Linear Regression, Logistic</w:t>
      </w:r>
    </w:p>
    <w:p w:rsidR="00793A66" w:rsidRPr="00412FB5" w:rsidRDefault="00BD347F">
      <w:pPr>
        <w:spacing w:after="18" w:line="259" w:lineRule="auto"/>
        <w:jc w:val="center"/>
        <w:rPr>
          <w:color w:val="0D0D0D" w:themeColor="text1" w:themeTint="F2"/>
        </w:rPr>
      </w:pPr>
      <w:r w:rsidRPr="00412FB5">
        <w:rPr>
          <w:b/>
          <w:color w:val="0D0D0D" w:themeColor="text1" w:themeTint="F2"/>
          <w:sz w:val="34"/>
        </w:rPr>
        <w:t>Regression,</w:t>
      </w:r>
    </w:p>
    <w:p w:rsidR="00793A66" w:rsidRPr="00412FB5" w:rsidRDefault="00BD347F">
      <w:pPr>
        <w:spacing w:after="18" w:line="259" w:lineRule="auto"/>
        <w:jc w:val="center"/>
        <w:rPr>
          <w:color w:val="0D0D0D" w:themeColor="text1" w:themeTint="F2"/>
        </w:rPr>
      </w:pPr>
      <w:r w:rsidRPr="00412FB5">
        <w:rPr>
          <w:b/>
          <w:color w:val="0D0D0D" w:themeColor="text1" w:themeTint="F2"/>
          <w:sz w:val="34"/>
        </w:rPr>
        <w:t>ANN, KNN, and Decision Tree Classifiers</w:t>
      </w:r>
    </w:p>
    <w:p w:rsidR="00412FB5" w:rsidRPr="00412FB5" w:rsidRDefault="00412FB5" w:rsidP="00412FB5">
      <w:pPr>
        <w:pBdr>
          <w:bottom w:val="single" w:sz="6" w:space="4" w:color="000000"/>
        </w:pBdr>
        <w:spacing w:before="40" w:after="80"/>
        <w:ind w:left="0" w:firstLine="0"/>
        <w:rPr>
          <w:b/>
          <w:iCs/>
          <w:color w:val="0D0D0D" w:themeColor="text1" w:themeTint="F2"/>
          <w:sz w:val="32"/>
          <w:szCs w:val="32"/>
        </w:rPr>
      </w:pPr>
      <w:r w:rsidRPr="00412FB5">
        <w:rPr>
          <w:b/>
          <w:iCs/>
          <w:color w:val="0D0D0D" w:themeColor="text1" w:themeTint="F2"/>
          <w:sz w:val="32"/>
          <w:szCs w:val="32"/>
        </w:rPr>
        <w:t xml:space="preserve">                                                </w:t>
      </w:r>
      <w:r w:rsidRPr="00412FB5">
        <w:rPr>
          <w:b/>
          <w:iCs/>
          <w:color w:val="0D0D0D" w:themeColor="text1" w:themeTint="F2"/>
          <w:sz w:val="32"/>
          <w:szCs w:val="32"/>
        </w:rPr>
        <w:t>Shirisha ks</w:t>
      </w:r>
    </w:p>
    <w:p w:rsidR="00412FB5" w:rsidRPr="00412FB5" w:rsidRDefault="00412FB5" w:rsidP="00412FB5">
      <w:pPr>
        <w:pBdr>
          <w:bottom w:val="single" w:sz="6" w:space="4" w:color="000000"/>
        </w:pBdr>
        <w:spacing w:before="40" w:after="80"/>
        <w:rPr>
          <w:iCs/>
          <w:color w:val="0D0D0D" w:themeColor="text1" w:themeTint="F2"/>
          <w:sz w:val="32"/>
          <w:szCs w:val="32"/>
        </w:rPr>
      </w:pPr>
      <w:r w:rsidRPr="00412FB5">
        <w:rPr>
          <w:b/>
          <w:iCs/>
          <w:color w:val="0D0D0D" w:themeColor="text1" w:themeTint="F2"/>
          <w:sz w:val="32"/>
          <w:szCs w:val="32"/>
        </w:rPr>
        <w:t xml:space="preserve">                                         </w:t>
      </w:r>
      <w:r w:rsidRPr="00412FB5">
        <w:rPr>
          <w:iCs/>
          <w:color w:val="0D0D0D" w:themeColor="text1" w:themeTint="F2"/>
          <w:sz w:val="32"/>
          <w:szCs w:val="32"/>
        </w:rPr>
        <w:t>School of</w:t>
      </w:r>
      <w:bookmarkStart w:id="0" w:name="_GoBack"/>
      <w:bookmarkEnd w:id="0"/>
      <w:r w:rsidRPr="00412FB5">
        <w:rPr>
          <w:iCs/>
          <w:color w:val="0D0D0D" w:themeColor="text1" w:themeTint="F2"/>
          <w:sz w:val="32"/>
          <w:szCs w:val="32"/>
        </w:rPr>
        <w:t xml:space="preserve"> Engineering</w:t>
      </w:r>
    </w:p>
    <w:p w:rsidR="00412FB5" w:rsidRDefault="00412FB5" w:rsidP="00412FB5">
      <w:pPr>
        <w:pBdr>
          <w:bottom w:val="single" w:sz="6" w:space="4" w:color="000000"/>
        </w:pBdr>
        <w:spacing w:before="40" w:after="80"/>
        <w:rPr>
          <w:iCs/>
          <w:color w:val="0D0D0D" w:themeColor="text1" w:themeTint="F2"/>
          <w:sz w:val="32"/>
          <w:szCs w:val="32"/>
        </w:rPr>
      </w:pPr>
      <w:r w:rsidRPr="00412FB5">
        <w:rPr>
          <w:iCs/>
          <w:color w:val="0D0D0D" w:themeColor="text1" w:themeTint="F2"/>
          <w:sz w:val="32"/>
          <w:szCs w:val="32"/>
        </w:rPr>
        <w:t xml:space="preserve"> </w:t>
      </w:r>
      <w:r>
        <w:rPr>
          <w:iCs/>
          <w:color w:val="0D0D0D" w:themeColor="text1" w:themeTint="F2"/>
          <w:sz w:val="32"/>
          <w:szCs w:val="32"/>
        </w:rPr>
        <w:t xml:space="preserve">         </w:t>
      </w:r>
      <w:r w:rsidRPr="00412FB5">
        <w:rPr>
          <w:iCs/>
          <w:color w:val="0D0D0D" w:themeColor="text1" w:themeTint="F2"/>
          <w:sz w:val="32"/>
          <w:szCs w:val="32"/>
        </w:rPr>
        <w:t xml:space="preserve">                                Chanakya University</w:t>
      </w:r>
    </w:p>
    <w:p w:rsidR="00412FB5" w:rsidRPr="00412FB5" w:rsidRDefault="00412FB5" w:rsidP="00412FB5">
      <w:pPr>
        <w:pBdr>
          <w:bottom w:val="single" w:sz="6" w:space="4" w:color="000000"/>
        </w:pBdr>
        <w:spacing w:before="40" w:after="80"/>
        <w:rPr>
          <w:iCs/>
          <w:color w:val="0D0D0D" w:themeColor="text1" w:themeTint="F2"/>
          <w:sz w:val="32"/>
          <w:szCs w:val="32"/>
        </w:rPr>
      </w:pPr>
      <w:r>
        <w:rPr>
          <w:iCs/>
          <w:color w:val="0D0D0D" w:themeColor="text1" w:themeTint="F2"/>
          <w:sz w:val="32"/>
          <w:szCs w:val="32"/>
        </w:rPr>
        <w:t xml:space="preserve">                                      </w:t>
      </w:r>
      <w:r w:rsidRPr="00412FB5">
        <w:rPr>
          <w:iCs/>
          <w:color w:val="0D0D0D" w:themeColor="text1" w:themeTint="F2"/>
          <w:sz w:val="32"/>
          <w:szCs w:val="32"/>
        </w:rPr>
        <w:t xml:space="preserve">Bengaluru, </w:t>
      </w:r>
      <w:proofErr w:type="spellStart"/>
      <w:r w:rsidRPr="00412FB5">
        <w:rPr>
          <w:iCs/>
          <w:color w:val="0D0D0D" w:themeColor="text1" w:themeTint="F2"/>
          <w:sz w:val="32"/>
          <w:szCs w:val="32"/>
        </w:rPr>
        <w:t>Karnataka,India</w:t>
      </w:r>
      <w:proofErr w:type="spellEnd"/>
      <w:r w:rsidRPr="00412FB5">
        <w:rPr>
          <w:color w:val="0D0D0D" w:themeColor="text1" w:themeTint="F2"/>
          <w:sz w:val="32"/>
          <w:szCs w:val="32"/>
        </w:rPr>
        <w:t xml:space="preserve">                                                          </w:t>
      </w:r>
    </w:p>
    <w:p w:rsidR="00793A66" w:rsidRPr="00412FB5" w:rsidRDefault="00412FB5" w:rsidP="00412FB5">
      <w:pPr>
        <w:spacing w:after="0" w:line="259" w:lineRule="auto"/>
        <w:ind w:left="0" w:firstLine="0"/>
        <w:rPr>
          <w:color w:val="0D0D0D" w:themeColor="text1" w:themeTint="F2"/>
        </w:rPr>
      </w:pPr>
      <w:r w:rsidRPr="00412FB5">
        <w:rPr>
          <w:iCs/>
          <w:color w:val="0D0D0D" w:themeColor="text1" w:themeTint="F2"/>
          <w:sz w:val="32"/>
          <w:szCs w:val="32"/>
        </w:rPr>
        <w:t xml:space="preserve"> </w:t>
      </w:r>
    </w:p>
    <w:p w:rsidR="00793A66" w:rsidRDefault="00BD347F">
      <w:pPr>
        <w:pStyle w:val="Heading1"/>
        <w:spacing w:after="31"/>
        <w:ind w:left="0" w:firstLine="0"/>
        <w:jc w:val="left"/>
      </w:pPr>
      <w:r>
        <w:rPr>
          <w:sz w:val="16"/>
        </w:rPr>
        <w:t>Abstract—</w:t>
      </w:r>
    </w:p>
    <w:p w:rsidR="00793A66" w:rsidRDefault="00BD347F">
      <w:pPr>
        <w:spacing w:after="119" w:line="296" w:lineRule="auto"/>
        <w:ind w:left="0" w:firstLine="0"/>
      </w:pPr>
      <w:r>
        <w:rPr>
          <w:sz w:val="17"/>
        </w:rPr>
        <w:t>Stock market prediction remains one of the most challenging yet critical problems in computational finance. Accurate forecasting of stock price trends enables investors and financial institutions to make informed decisions and mitigate risk. This paper pre</w:t>
      </w:r>
      <w:r>
        <w:rPr>
          <w:sz w:val="17"/>
        </w:rPr>
        <w:t xml:space="preserve">sents a comprehensive comparative evaluation of five classical machine learning algorithms—Linear Regression, Logistic Regression, Artificial Neural Network (ANN), K-Nearest </w:t>
      </w:r>
      <w:proofErr w:type="spellStart"/>
      <w:r>
        <w:rPr>
          <w:sz w:val="17"/>
        </w:rPr>
        <w:t>Neighbors</w:t>
      </w:r>
      <w:proofErr w:type="spellEnd"/>
      <w:r>
        <w:rPr>
          <w:sz w:val="17"/>
        </w:rPr>
        <w:t xml:space="preserve"> (KNN), and Decision Tree—applied to a dataset of 3,500 daily stock recor</w:t>
      </w:r>
      <w:r>
        <w:rPr>
          <w:sz w:val="17"/>
        </w:rPr>
        <w:t xml:space="preserve">ds spanning January 2010 to August 2019. The dataset encompasses open, high, low, and close prices, trading volume, 7-day and 30-day moving averages, volatility, momentum, and a derived binary trend label. After systematic </w:t>
      </w:r>
      <w:proofErr w:type="spellStart"/>
      <w:r>
        <w:rPr>
          <w:sz w:val="17"/>
        </w:rPr>
        <w:t>preprocessing</w:t>
      </w:r>
      <w:proofErr w:type="spellEnd"/>
      <w:r>
        <w:rPr>
          <w:sz w:val="17"/>
        </w:rPr>
        <w:t xml:space="preserve"> including missing-v</w:t>
      </w:r>
      <w:r>
        <w:rPr>
          <w:sz w:val="17"/>
        </w:rPr>
        <w:t>alue imputation, feature scaling, and an 80/20 train-test split, all models were evaluated on accuracy, precision, recall, and F1-score. Experimental results demonstrate that the Decision Tree classifier achieved the highest accuracy of 0.94, closely follo</w:t>
      </w:r>
      <w:r>
        <w:rPr>
          <w:sz w:val="17"/>
        </w:rPr>
        <w:t>wed by Logistic Regression at 0.93. Linear Regression attained a near-perfect R</w:t>
      </w:r>
      <w:r>
        <w:rPr>
          <w:sz w:val="21"/>
          <w:vertAlign w:val="superscript"/>
        </w:rPr>
        <w:t>2</w:t>
      </w:r>
      <w:r>
        <w:rPr>
          <w:sz w:val="17"/>
        </w:rPr>
        <w:t xml:space="preserve"> of 1.00 for price regression, while ANN and KNN recorded accuracies of 0.84 and 0.82 respectively. These findings suggest that interpretable tree-based models are well-suited </w:t>
      </w:r>
      <w:r>
        <w:rPr>
          <w:sz w:val="17"/>
        </w:rPr>
        <w:t>for binary trend classification in stock markets, outperforming neural and distance-based approaches on structured tabular financial data.</w:t>
      </w:r>
    </w:p>
    <w:p w:rsidR="00793A66" w:rsidRDefault="00BD347F">
      <w:pPr>
        <w:spacing w:after="15" w:line="270" w:lineRule="auto"/>
        <w:ind w:left="0" w:firstLine="0"/>
        <w:jc w:val="left"/>
      </w:pPr>
      <w:r>
        <w:rPr>
          <w:b/>
          <w:color w:val="1A1A2E"/>
          <w:sz w:val="17"/>
        </w:rPr>
        <w:t>Keywords—</w:t>
      </w:r>
      <w:r>
        <w:rPr>
          <w:color w:val="1A1A2E"/>
          <w:sz w:val="17"/>
        </w:rPr>
        <w:t>stock market prediction; machine learning; decision tree; logistic regression; ANN; KNN; financial forecasti</w:t>
      </w:r>
      <w:r>
        <w:rPr>
          <w:color w:val="1A1A2E"/>
          <w:sz w:val="17"/>
        </w:rPr>
        <w:t>ng; trend classification; moving average</w:t>
      </w:r>
    </w:p>
    <w:p w:rsidR="00793A66" w:rsidRDefault="00BD347F">
      <w:pPr>
        <w:spacing w:after="251" w:line="259" w:lineRule="auto"/>
        <w:ind w:left="0" w:firstLine="0"/>
        <w:jc w:val="left"/>
      </w:pPr>
      <w:r>
        <w:rPr>
          <w:rFonts w:ascii="Calibri" w:eastAsia="Calibri" w:hAnsi="Calibri" w:cs="Calibri"/>
          <w:noProof/>
          <w:sz w:val="22"/>
        </w:rPr>
        <mc:AlternateContent>
          <mc:Choice Requires="wpg">
            <w:drawing>
              <wp:inline distT="0" distB="0" distL="0" distR="0">
                <wp:extent cx="6248400" cy="12700"/>
                <wp:effectExtent l="0" t="0" r="0" b="0"/>
                <wp:docPr id="5205" name="Group 5205"/>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46" name="Shape 46"/>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565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05" style="width:492pt;height:1pt;mso-position-horizontal-relative:char;mso-position-vertical-relative:line" coordsize="62484,127">
                <v:shape id="Shape 46" style="position:absolute;width:62484;height:0;left:0;top:0;" coordsize="6248400,0" path="m0,0l6248400,0">
                  <v:stroke weight="1pt" endcap="round" joinstyle="miter" miterlimit="10" on="true" color="#1565c0"/>
                  <v:fill on="false" color="#000000" opacity="0"/>
                </v:shape>
              </v:group>
            </w:pict>
          </mc:Fallback>
        </mc:AlternateContent>
      </w:r>
    </w:p>
    <w:p w:rsidR="00793A66" w:rsidRDefault="00BD347F">
      <w:pPr>
        <w:pStyle w:val="Heading1"/>
      </w:pPr>
      <w:r>
        <w:t>I. INTRODUCTION</w:t>
      </w:r>
    </w:p>
    <w:p w:rsidR="00793A66" w:rsidRDefault="00BD347F">
      <w:pPr>
        <w:spacing w:after="131" w:line="259" w:lineRule="auto"/>
        <w:ind w:left="0" w:firstLine="0"/>
        <w:jc w:val="left"/>
      </w:pPr>
      <w:r>
        <w:rPr>
          <w:rFonts w:ascii="Calibri" w:eastAsia="Calibri" w:hAnsi="Calibri" w:cs="Calibri"/>
          <w:noProof/>
          <w:sz w:val="22"/>
        </w:rPr>
        <mc:AlternateContent>
          <mc:Choice Requires="wpg">
            <w:drawing>
              <wp:inline distT="0" distB="0" distL="0" distR="0">
                <wp:extent cx="6248400" cy="3810"/>
                <wp:effectExtent l="0" t="0" r="0" b="0"/>
                <wp:docPr id="5206" name="Group 5206"/>
                <wp:cNvGraphicFramePr/>
                <a:graphic xmlns:a="http://schemas.openxmlformats.org/drawingml/2006/main">
                  <a:graphicData uri="http://schemas.microsoft.com/office/word/2010/wordprocessingGroup">
                    <wpg:wgp>
                      <wpg:cNvGrpSpPr/>
                      <wpg:grpSpPr>
                        <a:xfrm>
                          <a:off x="0" y="0"/>
                          <a:ext cx="6248400" cy="3810"/>
                          <a:chOff x="0" y="0"/>
                          <a:chExt cx="6248400" cy="3810"/>
                        </a:xfrm>
                      </wpg:grpSpPr>
                      <wps:wsp>
                        <wps:cNvPr id="48" name="Shape 48"/>
                        <wps:cNvSpPr/>
                        <wps:spPr>
                          <a:xfrm>
                            <a:off x="0" y="0"/>
                            <a:ext cx="6248400" cy="0"/>
                          </a:xfrm>
                          <a:custGeom>
                            <a:avLst/>
                            <a:gdLst/>
                            <a:ahLst/>
                            <a:cxnLst/>
                            <a:rect l="0" t="0" r="0" b="0"/>
                            <a:pathLst>
                              <a:path w="6248400">
                                <a:moveTo>
                                  <a:pt x="0" y="0"/>
                                </a:moveTo>
                                <a:lnTo>
                                  <a:pt x="6248400" y="0"/>
                                </a:lnTo>
                              </a:path>
                            </a:pathLst>
                          </a:custGeom>
                          <a:ln w="3810" cap="rnd">
                            <a:miter lim="127000"/>
                          </a:ln>
                        </wps:spPr>
                        <wps:style>
                          <a:lnRef idx="1">
                            <a:srgbClr val="1565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06" style="width:492pt;height:0.3pt;mso-position-horizontal-relative:char;mso-position-vertical-relative:line" coordsize="62484,38">
                <v:shape id="Shape 48" style="position:absolute;width:62484;height:0;left:0;top:0;" coordsize="6248400,0" path="m0,0l6248400,0">
                  <v:stroke weight="0.3pt" endcap="round" joinstyle="miter" miterlimit="10" on="true" color="#1565c0"/>
                  <v:fill on="false" color="#000000" opacity="0"/>
                </v:shape>
              </v:group>
            </w:pict>
          </mc:Fallback>
        </mc:AlternateContent>
      </w:r>
    </w:p>
    <w:p w:rsidR="00793A66" w:rsidRDefault="00BD347F">
      <w:pPr>
        <w:spacing w:after="102"/>
        <w:ind w:left="-5"/>
      </w:pPr>
      <w:r>
        <w:t>Financial markets are inherently volatile systems influenced by macroeconomic indicators, investor sentiment, geopolitical events, and company-specific fundamentals. The accurate prediction of st</w:t>
      </w:r>
      <w:r>
        <w:t>ock price movement has therefore attracted sustained research interest from both the academic and industry communities [1]. The efficient market hypothesis suggests that price changes are essentially random, yet empirical evidence has demonstrated that mac</w:t>
      </w:r>
      <w:r>
        <w:t>hine learning (ML) models can exploit latent patterns in historical data to achieve statistically meaningful predictive performance [2].</w:t>
      </w:r>
    </w:p>
    <w:p w:rsidR="00793A66" w:rsidRDefault="00BD347F">
      <w:pPr>
        <w:spacing w:after="102"/>
        <w:ind w:left="-5"/>
      </w:pPr>
      <w:r>
        <w:t>Traditional approaches such as ARIMA and exponential smoothing capture linear temporal dependencies but fail to model c</w:t>
      </w:r>
      <w:r>
        <w:t>omplex nonlinear interactions among features. ML algorithms offer a compelling alternative: they are data-driven, require fewer assumptions about underlying distributions, and scale gracefully with feature dimensionality [3]. This work contributes a rigoro</w:t>
      </w:r>
      <w:r>
        <w:t>us benchmarking of five representative ML paradigms—spanning linear, probabilistic, neural, instance-based, and tree-based families—on a real-world stock dataset, providing practitioners and researchers with actionable comparative insights.</w:t>
      </w:r>
    </w:p>
    <w:p w:rsidR="00793A66" w:rsidRDefault="00BD347F">
      <w:pPr>
        <w:ind w:left="-5"/>
      </w:pPr>
      <w:r>
        <w:t>The remainder o</w:t>
      </w:r>
      <w:r>
        <w:t xml:space="preserve">f the paper is organised as follows. Section II surveys related literature. Section III describes the dataset and </w:t>
      </w:r>
      <w:proofErr w:type="spellStart"/>
      <w:r>
        <w:t>preprocessing</w:t>
      </w:r>
      <w:proofErr w:type="spellEnd"/>
      <w:r>
        <w:t xml:space="preserve"> pipeline. Section IV details the experimental methodology. Section V presents and discusses results.</w:t>
      </w:r>
    </w:p>
    <w:p w:rsidR="00793A66" w:rsidRDefault="00BD347F">
      <w:pPr>
        <w:spacing w:after="207"/>
        <w:ind w:left="-5"/>
      </w:pPr>
      <w:r>
        <w:t>Section VI concludes with d</w:t>
      </w:r>
      <w:r>
        <w:t>irections for future work.</w:t>
      </w:r>
    </w:p>
    <w:p w:rsidR="00793A66" w:rsidRDefault="00BD347F">
      <w:pPr>
        <w:pStyle w:val="Heading1"/>
      </w:pPr>
      <w:r>
        <w:lastRenderedPageBreak/>
        <w:t>II. RELATED WORK</w:t>
      </w:r>
    </w:p>
    <w:p w:rsidR="00793A66" w:rsidRDefault="00BD347F">
      <w:pPr>
        <w:spacing w:after="131" w:line="259" w:lineRule="auto"/>
        <w:ind w:left="0" w:firstLine="0"/>
        <w:jc w:val="left"/>
      </w:pPr>
      <w:r>
        <w:rPr>
          <w:rFonts w:ascii="Calibri" w:eastAsia="Calibri" w:hAnsi="Calibri" w:cs="Calibri"/>
          <w:noProof/>
          <w:sz w:val="22"/>
        </w:rPr>
        <mc:AlternateContent>
          <mc:Choice Requires="wpg">
            <w:drawing>
              <wp:inline distT="0" distB="0" distL="0" distR="0">
                <wp:extent cx="6248400" cy="3810"/>
                <wp:effectExtent l="0" t="0" r="0" b="0"/>
                <wp:docPr id="5207" name="Group 5207"/>
                <wp:cNvGraphicFramePr/>
                <a:graphic xmlns:a="http://schemas.openxmlformats.org/drawingml/2006/main">
                  <a:graphicData uri="http://schemas.microsoft.com/office/word/2010/wordprocessingGroup">
                    <wpg:wgp>
                      <wpg:cNvGrpSpPr/>
                      <wpg:grpSpPr>
                        <a:xfrm>
                          <a:off x="0" y="0"/>
                          <a:ext cx="6248400" cy="3810"/>
                          <a:chOff x="0" y="0"/>
                          <a:chExt cx="6248400" cy="3810"/>
                        </a:xfrm>
                      </wpg:grpSpPr>
                      <wps:wsp>
                        <wps:cNvPr id="64" name="Shape 64"/>
                        <wps:cNvSpPr/>
                        <wps:spPr>
                          <a:xfrm>
                            <a:off x="0" y="0"/>
                            <a:ext cx="6248400" cy="0"/>
                          </a:xfrm>
                          <a:custGeom>
                            <a:avLst/>
                            <a:gdLst/>
                            <a:ahLst/>
                            <a:cxnLst/>
                            <a:rect l="0" t="0" r="0" b="0"/>
                            <a:pathLst>
                              <a:path w="6248400">
                                <a:moveTo>
                                  <a:pt x="0" y="0"/>
                                </a:moveTo>
                                <a:lnTo>
                                  <a:pt x="6248400" y="0"/>
                                </a:lnTo>
                              </a:path>
                            </a:pathLst>
                          </a:custGeom>
                          <a:ln w="3810" cap="rnd">
                            <a:miter lim="127000"/>
                          </a:ln>
                        </wps:spPr>
                        <wps:style>
                          <a:lnRef idx="1">
                            <a:srgbClr val="1565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07" style="width:492pt;height:0.3pt;mso-position-horizontal-relative:char;mso-position-vertical-relative:line" coordsize="62484,38">
                <v:shape id="Shape 64" style="position:absolute;width:62484;height:0;left:0;top:0;" coordsize="6248400,0" path="m0,0l6248400,0">
                  <v:stroke weight="0.3pt" endcap="round" joinstyle="miter" miterlimit="10" on="true" color="#1565c0"/>
                  <v:fill on="false" color="#000000" opacity="0"/>
                </v:shape>
              </v:group>
            </w:pict>
          </mc:Fallback>
        </mc:AlternateContent>
      </w:r>
    </w:p>
    <w:p w:rsidR="00793A66" w:rsidRDefault="00BD347F">
      <w:pPr>
        <w:ind w:left="-5"/>
      </w:pPr>
      <w:r>
        <w:t xml:space="preserve">Early work by </w:t>
      </w:r>
      <w:proofErr w:type="spellStart"/>
      <w:r>
        <w:t>Fama</w:t>
      </w:r>
      <w:proofErr w:type="spellEnd"/>
      <w:r>
        <w:t xml:space="preserve"> [1] established the efficient market hypothesis, positing that price movements follow a random walk.</w:t>
      </w:r>
    </w:p>
    <w:p w:rsidR="00793A66" w:rsidRDefault="00BD347F">
      <w:pPr>
        <w:spacing w:after="102"/>
        <w:ind w:left="-5"/>
      </w:pPr>
      <w:r>
        <w:t>Despite this, numerous studies have demonstrated that ML models can extract exploitable si</w:t>
      </w:r>
      <w:r>
        <w:t>gnals from historical data. Patel et al. [4] evaluated random forest, SVM, and ANN on NSE India data, reporting that ensemble methods generally outperform single classifiers. Huang et al. [5] applied SVM to predict weekly direction of the NIKKEI 225, achie</w:t>
      </w:r>
      <w:r>
        <w:t>ving accuracy above 70%. More recently, deep learning approaches such as LSTM networks have gained traction for capturing long-range temporal dependencies in time-series data [6].</w:t>
      </w:r>
    </w:p>
    <w:p w:rsidR="00793A66" w:rsidRDefault="00BD347F">
      <w:pPr>
        <w:spacing w:after="202"/>
        <w:ind w:left="-5"/>
      </w:pPr>
      <w:r>
        <w:t>However, many studies overlook classical interpretable models such as decision trees and logistic regression, which remain highly practical in regulated financial environments where model transparency is paramount. This work fills that gap by rigorously co</w:t>
      </w:r>
      <w:r>
        <w:t>mparing classical ML algorithms on a curated multi-year stock dataset, complementing deep learning research with baseline benchmarks that carry low computational overhead.</w:t>
      </w:r>
    </w:p>
    <w:p w:rsidR="00793A66" w:rsidRDefault="00BD347F">
      <w:pPr>
        <w:pStyle w:val="Heading1"/>
      </w:pPr>
      <w:r>
        <w:t>III. DATASET AND PREPROCESSING</w:t>
      </w:r>
    </w:p>
    <w:p w:rsidR="00793A66" w:rsidRDefault="00BD347F">
      <w:pPr>
        <w:spacing w:after="168" w:line="259" w:lineRule="auto"/>
        <w:ind w:left="0" w:firstLine="0"/>
        <w:jc w:val="left"/>
      </w:pPr>
      <w:r>
        <w:rPr>
          <w:rFonts w:ascii="Calibri" w:eastAsia="Calibri" w:hAnsi="Calibri" w:cs="Calibri"/>
          <w:noProof/>
          <w:sz w:val="22"/>
        </w:rPr>
        <mc:AlternateContent>
          <mc:Choice Requires="wpg">
            <w:drawing>
              <wp:inline distT="0" distB="0" distL="0" distR="0">
                <wp:extent cx="6248400" cy="3810"/>
                <wp:effectExtent l="0" t="0" r="0" b="0"/>
                <wp:docPr id="4928" name="Group 4928"/>
                <wp:cNvGraphicFramePr/>
                <a:graphic xmlns:a="http://schemas.openxmlformats.org/drawingml/2006/main">
                  <a:graphicData uri="http://schemas.microsoft.com/office/word/2010/wordprocessingGroup">
                    <wpg:wgp>
                      <wpg:cNvGrpSpPr/>
                      <wpg:grpSpPr>
                        <a:xfrm>
                          <a:off x="0" y="0"/>
                          <a:ext cx="6248400" cy="3810"/>
                          <a:chOff x="0" y="0"/>
                          <a:chExt cx="6248400" cy="3810"/>
                        </a:xfrm>
                      </wpg:grpSpPr>
                      <wps:wsp>
                        <wps:cNvPr id="88" name="Shape 88"/>
                        <wps:cNvSpPr/>
                        <wps:spPr>
                          <a:xfrm>
                            <a:off x="0" y="0"/>
                            <a:ext cx="6248400" cy="0"/>
                          </a:xfrm>
                          <a:custGeom>
                            <a:avLst/>
                            <a:gdLst/>
                            <a:ahLst/>
                            <a:cxnLst/>
                            <a:rect l="0" t="0" r="0" b="0"/>
                            <a:pathLst>
                              <a:path w="6248400">
                                <a:moveTo>
                                  <a:pt x="0" y="0"/>
                                </a:moveTo>
                                <a:lnTo>
                                  <a:pt x="6248400" y="0"/>
                                </a:lnTo>
                              </a:path>
                            </a:pathLst>
                          </a:custGeom>
                          <a:ln w="3810" cap="rnd">
                            <a:miter lim="127000"/>
                          </a:ln>
                        </wps:spPr>
                        <wps:style>
                          <a:lnRef idx="1">
                            <a:srgbClr val="1565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28" style="width:492pt;height:0.3pt;mso-position-horizontal-relative:char;mso-position-vertical-relative:line" coordsize="62484,38">
                <v:shape id="Shape 88" style="position:absolute;width:62484;height:0;left:0;top:0;" coordsize="6248400,0" path="m0,0l6248400,0">
                  <v:stroke weight="0.3pt" endcap="round" joinstyle="miter" miterlimit="10" on="true" color="#1565c0"/>
                  <v:fill on="false" color="#000000" opacity="0"/>
                </v:shape>
              </v:group>
            </w:pict>
          </mc:Fallback>
        </mc:AlternateContent>
      </w:r>
    </w:p>
    <w:p w:rsidR="00793A66" w:rsidRDefault="00BD347F">
      <w:pPr>
        <w:pStyle w:val="Heading2"/>
        <w:ind w:left="-5"/>
      </w:pPr>
      <w:r>
        <w:t>A. Dataset Description</w:t>
      </w:r>
    </w:p>
    <w:p w:rsidR="00793A66" w:rsidRDefault="00BD347F">
      <w:pPr>
        <w:ind w:left="-5"/>
      </w:pPr>
      <w:r>
        <w:t>The dataset comprises 3,500 daily trading records for a synthetic market index covering the period January 1, 2010 to</w:t>
      </w:r>
    </w:p>
    <w:p w:rsidR="00793A66" w:rsidRDefault="00BD347F">
      <w:pPr>
        <w:ind w:left="-5"/>
      </w:pPr>
      <w:r>
        <w:t>August 1, 2019. Each record contains fourteen attributes: DATE, STOCK ticker, OPEN_PRICE, HIGH_PRICE,</w:t>
      </w:r>
    </w:p>
    <w:p w:rsidR="00793A66" w:rsidRDefault="00BD347F">
      <w:pPr>
        <w:ind w:left="-5"/>
      </w:pPr>
      <w:r>
        <w:t>LOW_PRICE, CLOSE_PRICE, VOLUME, RETU</w:t>
      </w:r>
      <w:r>
        <w:t>RN, VOLATILITY_7D, PRICE_CHANGE, MA_7 (7-day moving average), MA_30 (30-day moving average), TREND (binary target label derived as CLOSE &gt; OPEN), and MOMENTUM. Descriptive statistics reveal that the median close price is approximately 1,231 USD with an int</w:t>
      </w:r>
      <w:r>
        <w:t>erquartile range of approximately 347 USD, confirming substantial price variation suitable for model discrimination.</w:t>
      </w:r>
    </w:p>
    <w:p w:rsidR="00793A66" w:rsidRDefault="00BD347F">
      <w:pPr>
        <w:spacing w:after="105" w:line="259" w:lineRule="auto"/>
        <w:ind w:left="-120" w:right="-120" w:firstLine="0"/>
        <w:jc w:val="left"/>
      </w:pPr>
      <w:r>
        <w:rPr>
          <w:noProof/>
        </w:rPr>
        <w:drawing>
          <wp:inline distT="0" distB="0" distL="0" distR="0">
            <wp:extent cx="6400800" cy="352044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7"/>
                    <a:stretch>
                      <a:fillRect/>
                    </a:stretch>
                  </pic:blipFill>
                  <pic:spPr>
                    <a:xfrm>
                      <a:off x="0" y="0"/>
                      <a:ext cx="6400800" cy="3520440"/>
                    </a:xfrm>
                    <a:prstGeom prst="rect">
                      <a:avLst/>
                    </a:prstGeom>
                  </pic:spPr>
                </pic:pic>
              </a:graphicData>
            </a:graphic>
          </wp:inline>
        </w:drawing>
      </w:r>
    </w:p>
    <w:p w:rsidR="00793A66" w:rsidRDefault="00BD347F">
      <w:pPr>
        <w:spacing w:after="168" w:line="264" w:lineRule="auto"/>
        <w:jc w:val="center"/>
      </w:pPr>
      <w:r>
        <w:rPr>
          <w:color w:val="90A4AE"/>
          <w:sz w:val="16"/>
        </w:rPr>
        <w:t>Fig. 2. Historical stock price trajectory (2010–2019) with 7-day and 30-day moving averages.</w:t>
      </w:r>
    </w:p>
    <w:p w:rsidR="00793A66" w:rsidRDefault="00BD347F">
      <w:pPr>
        <w:pStyle w:val="Heading2"/>
        <w:ind w:left="-5"/>
      </w:pPr>
      <w:r>
        <w:t xml:space="preserve">B. Feature Engineering and </w:t>
      </w:r>
      <w:proofErr w:type="spellStart"/>
      <w:r>
        <w:t>Preprocessing</w:t>
      </w:r>
      <w:proofErr w:type="spellEnd"/>
    </w:p>
    <w:p w:rsidR="00793A66" w:rsidRDefault="00BD347F">
      <w:pPr>
        <w:ind w:left="-5"/>
      </w:pPr>
      <w:r>
        <w:t>The</w:t>
      </w:r>
      <w:r>
        <w:t xml:space="preserve"> TREND binary label was engineered as: TREND = 1 if CLOSE &gt; OPEN, else 0, yielding a roughly balanced class distribution (approx. 52% uptrend, 48% downtrend). Non-numerical columns (DATE, STOCK) were dropped prior to model </w:t>
      </w:r>
      <w:r>
        <w:lastRenderedPageBreak/>
        <w:t xml:space="preserve">training. Missing values arising </w:t>
      </w:r>
      <w:r>
        <w:t xml:space="preserve">from rolling-window calculations (MA_7, MA_30, RETURN, VOLATILITY_7D, MOMENTUM) were imputed using column-wise mean imputation via </w:t>
      </w:r>
      <w:proofErr w:type="spellStart"/>
      <w:r>
        <w:t>sklearn's</w:t>
      </w:r>
      <w:proofErr w:type="spellEnd"/>
      <w:r>
        <w:t xml:space="preserve"> </w:t>
      </w:r>
      <w:proofErr w:type="spellStart"/>
      <w:r>
        <w:t>SimpleImputer</w:t>
      </w:r>
      <w:proofErr w:type="spellEnd"/>
      <w:r>
        <w:t xml:space="preserve">. Feature scaling was applied using </w:t>
      </w:r>
      <w:proofErr w:type="spellStart"/>
      <w:r>
        <w:t>StandardScaler</w:t>
      </w:r>
      <w:proofErr w:type="spellEnd"/>
      <w:r>
        <w:t xml:space="preserve"> for models sensitive to scale (Logistic Regression,</w:t>
      </w:r>
      <w:r>
        <w:t xml:space="preserve"> ANN, KNN), while tree-based and regression models operated on raw features. The dataset was partitioned into 80% training (2,800 records) and 20% testing (700 records) using stratified random sampling with </w:t>
      </w:r>
      <w:proofErr w:type="spellStart"/>
      <w:r>
        <w:t>random_state</w:t>
      </w:r>
      <w:proofErr w:type="spellEnd"/>
      <w:r>
        <w:t>=42.</w:t>
      </w:r>
    </w:p>
    <w:p w:rsidR="00793A66" w:rsidRDefault="00BD347F">
      <w:pPr>
        <w:spacing w:after="105" w:line="259" w:lineRule="auto"/>
        <w:ind w:left="-120" w:right="-120" w:firstLine="0"/>
        <w:jc w:val="left"/>
      </w:pPr>
      <w:r>
        <w:rPr>
          <w:noProof/>
        </w:rPr>
        <w:drawing>
          <wp:inline distT="0" distB="0" distL="0" distR="0">
            <wp:extent cx="6400800" cy="352044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8"/>
                    <a:stretch>
                      <a:fillRect/>
                    </a:stretch>
                  </pic:blipFill>
                  <pic:spPr>
                    <a:xfrm>
                      <a:off x="0" y="0"/>
                      <a:ext cx="6400800" cy="3520440"/>
                    </a:xfrm>
                    <a:prstGeom prst="rect">
                      <a:avLst/>
                    </a:prstGeom>
                  </pic:spPr>
                </pic:pic>
              </a:graphicData>
            </a:graphic>
          </wp:inline>
        </w:drawing>
      </w:r>
    </w:p>
    <w:p w:rsidR="00793A66" w:rsidRDefault="00BD347F">
      <w:pPr>
        <w:spacing w:after="218" w:line="264" w:lineRule="auto"/>
        <w:jc w:val="center"/>
      </w:pPr>
      <w:r>
        <w:rPr>
          <w:color w:val="90A4AE"/>
          <w:sz w:val="16"/>
        </w:rPr>
        <w:t>Fig. 4. Frequency distribution</w:t>
      </w:r>
      <w:r>
        <w:rPr>
          <w:color w:val="90A4AE"/>
          <w:sz w:val="16"/>
        </w:rPr>
        <w:t>s of the four primary price features (Open, Close, High, Low).</w:t>
      </w:r>
    </w:p>
    <w:p w:rsidR="00793A66" w:rsidRDefault="00BD347F">
      <w:pPr>
        <w:pStyle w:val="Heading1"/>
      </w:pPr>
      <w:r>
        <w:t>IV. METHODOLOGY</w:t>
      </w:r>
    </w:p>
    <w:p w:rsidR="00793A66" w:rsidRDefault="00BD347F">
      <w:pPr>
        <w:spacing w:after="168" w:line="259" w:lineRule="auto"/>
        <w:ind w:left="0" w:firstLine="0"/>
        <w:jc w:val="left"/>
      </w:pPr>
      <w:r>
        <w:rPr>
          <w:rFonts w:ascii="Calibri" w:eastAsia="Calibri" w:hAnsi="Calibri" w:cs="Calibri"/>
          <w:noProof/>
          <w:sz w:val="22"/>
        </w:rPr>
        <mc:AlternateContent>
          <mc:Choice Requires="wpg">
            <w:drawing>
              <wp:inline distT="0" distB="0" distL="0" distR="0">
                <wp:extent cx="6248400" cy="3810"/>
                <wp:effectExtent l="0" t="0" r="0" b="0"/>
                <wp:docPr id="4850" name="Group 4850"/>
                <wp:cNvGraphicFramePr/>
                <a:graphic xmlns:a="http://schemas.openxmlformats.org/drawingml/2006/main">
                  <a:graphicData uri="http://schemas.microsoft.com/office/word/2010/wordprocessingGroup">
                    <wpg:wgp>
                      <wpg:cNvGrpSpPr/>
                      <wpg:grpSpPr>
                        <a:xfrm>
                          <a:off x="0" y="0"/>
                          <a:ext cx="6248400" cy="3810"/>
                          <a:chOff x="0" y="0"/>
                          <a:chExt cx="6248400" cy="3810"/>
                        </a:xfrm>
                      </wpg:grpSpPr>
                      <wps:wsp>
                        <wps:cNvPr id="118" name="Shape 118"/>
                        <wps:cNvSpPr/>
                        <wps:spPr>
                          <a:xfrm>
                            <a:off x="0" y="0"/>
                            <a:ext cx="6248400" cy="0"/>
                          </a:xfrm>
                          <a:custGeom>
                            <a:avLst/>
                            <a:gdLst/>
                            <a:ahLst/>
                            <a:cxnLst/>
                            <a:rect l="0" t="0" r="0" b="0"/>
                            <a:pathLst>
                              <a:path w="6248400">
                                <a:moveTo>
                                  <a:pt x="0" y="0"/>
                                </a:moveTo>
                                <a:lnTo>
                                  <a:pt x="6248400" y="0"/>
                                </a:lnTo>
                              </a:path>
                            </a:pathLst>
                          </a:custGeom>
                          <a:ln w="3810" cap="rnd">
                            <a:miter lim="127000"/>
                          </a:ln>
                        </wps:spPr>
                        <wps:style>
                          <a:lnRef idx="1">
                            <a:srgbClr val="1565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50" style="width:492pt;height:0.3pt;mso-position-horizontal-relative:char;mso-position-vertical-relative:line" coordsize="62484,38">
                <v:shape id="Shape 118" style="position:absolute;width:62484;height:0;left:0;top:0;" coordsize="6248400,0" path="m0,0l6248400,0">
                  <v:stroke weight="0.3pt" endcap="round" joinstyle="miter" miterlimit="10" on="true" color="#1565c0"/>
                  <v:fill on="false" color="#000000" opacity="0"/>
                </v:shape>
              </v:group>
            </w:pict>
          </mc:Fallback>
        </mc:AlternateContent>
      </w:r>
    </w:p>
    <w:p w:rsidR="00793A66" w:rsidRDefault="00BD347F">
      <w:pPr>
        <w:pStyle w:val="Heading2"/>
        <w:ind w:left="-5"/>
      </w:pPr>
      <w:r>
        <w:t>A. Linear Regression</w:t>
      </w:r>
    </w:p>
    <w:p w:rsidR="00793A66" w:rsidRDefault="00BD347F">
      <w:pPr>
        <w:spacing w:after="27"/>
        <w:ind w:left="-5"/>
      </w:pPr>
      <w:r>
        <w:t>Linear Regression (LR) was trained to predict the continuous CLOSE price from the OPEN price. The model takes the form:</w:t>
      </w:r>
    </w:p>
    <w:p w:rsidR="00793A66" w:rsidRDefault="00BD347F">
      <w:pPr>
        <w:ind w:left="-5"/>
      </w:pPr>
      <w:r>
        <w:rPr>
          <w:rFonts w:ascii="Segoe UI Symbol" w:eastAsia="Segoe UI Symbol" w:hAnsi="Segoe UI Symbol" w:cs="Segoe UI Symbol"/>
        </w:rPr>
        <w:t>■</w:t>
      </w:r>
      <w:r>
        <w:t xml:space="preserve"> = </w:t>
      </w:r>
      <w:r>
        <w:rPr>
          <w:rFonts w:ascii="Segoe UI Symbol" w:eastAsia="Segoe UI Symbol" w:hAnsi="Segoe UI Symbol" w:cs="Segoe UI Symbol"/>
        </w:rPr>
        <w:t>β</w:t>
      </w:r>
      <w:r>
        <w:t xml:space="preserve"> + </w:t>
      </w:r>
      <w:r>
        <w:rPr>
          <w:rFonts w:ascii="Segoe UI Symbol" w:eastAsia="Segoe UI Symbol" w:hAnsi="Segoe UI Symbol" w:cs="Segoe UI Symbol"/>
        </w:rPr>
        <w:t xml:space="preserve">β </w:t>
      </w:r>
      <w:r>
        <w:t>x, where x denotes the o</w:t>
      </w:r>
      <w:r>
        <w:t>pening price. Performance was assessed via Mean Absolute Error (MAE), Root Mean</w:t>
      </w:r>
    </w:p>
    <w:p w:rsidR="00793A66" w:rsidRDefault="00BD347F">
      <w:pPr>
        <w:tabs>
          <w:tab w:val="center" w:pos="497"/>
          <w:tab w:val="center" w:pos="897"/>
        </w:tabs>
        <w:spacing w:after="29" w:line="259" w:lineRule="auto"/>
        <w:ind w:left="0" w:firstLine="0"/>
        <w:jc w:val="left"/>
      </w:pPr>
      <w:r>
        <w:rPr>
          <w:rFonts w:ascii="Calibri" w:eastAsia="Calibri" w:hAnsi="Calibri" w:cs="Calibri"/>
          <w:sz w:val="22"/>
        </w:rPr>
        <w:tab/>
      </w:r>
      <w:r>
        <w:rPr>
          <w:sz w:val="14"/>
        </w:rPr>
        <w:t>0</w:t>
      </w:r>
      <w:r>
        <w:rPr>
          <w:sz w:val="14"/>
        </w:rPr>
        <w:tab/>
        <w:t>1</w:t>
      </w:r>
    </w:p>
    <w:p w:rsidR="00793A66" w:rsidRDefault="00BD347F">
      <w:pPr>
        <w:spacing w:after="149"/>
        <w:ind w:left="-5"/>
      </w:pPr>
      <w:r>
        <w:t>Squared Error (RMSE), and the coefficient of determination R</w:t>
      </w:r>
      <w:r>
        <w:rPr>
          <w:vertAlign w:val="superscript"/>
        </w:rPr>
        <w:t>2</w:t>
      </w:r>
      <w:r>
        <w:t>.</w:t>
      </w:r>
    </w:p>
    <w:p w:rsidR="00793A66" w:rsidRDefault="00BD347F">
      <w:pPr>
        <w:pStyle w:val="Heading2"/>
        <w:ind w:left="-5"/>
      </w:pPr>
      <w:r>
        <w:t>B. Logistic Regression</w:t>
      </w:r>
    </w:p>
    <w:p w:rsidR="00793A66" w:rsidRDefault="00BD347F">
      <w:pPr>
        <w:spacing w:after="51" w:line="370" w:lineRule="auto"/>
        <w:ind w:left="-5"/>
      </w:pPr>
      <w:r>
        <w:t>Logistic Regression (</w:t>
      </w:r>
      <w:proofErr w:type="spellStart"/>
      <w:r>
        <w:t>LogReg</w:t>
      </w:r>
      <w:proofErr w:type="spellEnd"/>
      <w:r>
        <w:t>) models the probability of an upward trend using the sigmoid function: P(y=1|x) = 1 / (1 + e</w:t>
      </w:r>
      <w:r>
        <w:rPr>
          <w:rFonts w:ascii="Segoe UI Symbol" w:eastAsia="Segoe UI Symbol" w:hAnsi="Segoe UI Symbol" w:cs="Segoe UI Symbol"/>
          <w:sz w:val="14"/>
        </w:rPr>
        <w:t>−</w:t>
      </w:r>
      <w:r>
        <w:rPr>
          <w:vertAlign w:val="superscript"/>
        </w:rPr>
        <w:t>(</w:t>
      </w:r>
      <w:proofErr w:type="spellStart"/>
      <w:r>
        <w:rPr>
          <w:vertAlign w:val="superscript"/>
        </w:rPr>
        <w:t>wTx+b</w:t>
      </w:r>
      <w:proofErr w:type="spellEnd"/>
      <w:r>
        <w:rPr>
          <w:vertAlign w:val="superscript"/>
        </w:rPr>
        <w:t>)</w:t>
      </w:r>
      <w:r>
        <w:t xml:space="preserve">). The </w:t>
      </w:r>
      <w:proofErr w:type="spellStart"/>
      <w:r>
        <w:t>liblinear</w:t>
      </w:r>
      <w:proofErr w:type="spellEnd"/>
      <w:r>
        <w:t xml:space="preserve"> solver was employed with </w:t>
      </w:r>
      <w:proofErr w:type="spellStart"/>
      <w:r>
        <w:t>class_weight</w:t>
      </w:r>
      <w:proofErr w:type="spellEnd"/>
      <w:r>
        <w:t xml:space="preserve">='balanced' and </w:t>
      </w:r>
      <w:proofErr w:type="spellStart"/>
      <w:r>
        <w:t>max_iter</w:t>
      </w:r>
      <w:proofErr w:type="spellEnd"/>
      <w:r>
        <w:t>=1,000 to handle class imbalance and ensure conver</w:t>
      </w:r>
      <w:r>
        <w:t>gence. All numerical features were included after imputation and standard scaling.</w:t>
      </w:r>
    </w:p>
    <w:p w:rsidR="00793A66" w:rsidRDefault="00BD347F">
      <w:pPr>
        <w:pStyle w:val="Heading2"/>
        <w:ind w:left="-5"/>
      </w:pPr>
      <w:r>
        <w:t>C. Artificial Neural Network (ANN)</w:t>
      </w:r>
    </w:p>
    <w:p w:rsidR="00793A66" w:rsidRDefault="00BD347F">
      <w:pPr>
        <w:spacing w:after="113"/>
        <w:ind w:left="-5"/>
      </w:pPr>
      <w:r>
        <w:t xml:space="preserve">A fully connected feedforward ANN with a single hidden layer of 10 neurons and </w:t>
      </w:r>
      <w:proofErr w:type="spellStart"/>
      <w:r>
        <w:t>ReLU</w:t>
      </w:r>
      <w:proofErr w:type="spellEnd"/>
      <w:r>
        <w:t xml:space="preserve"> activation was implemented using </w:t>
      </w:r>
      <w:proofErr w:type="spellStart"/>
      <w:r>
        <w:t>sklearn's</w:t>
      </w:r>
      <w:proofErr w:type="spellEnd"/>
      <w:r>
        <w:t xml:space="preserve"> </w:t>
      </w:r>
      <w:proofErr w:type="spellStart"/>
      <w:r>
        <w:t>MLPClassifi</w:t>
      </w:r>
      <w:r>
        <w:t>er</w:t>
      </w:r>
      <w:proofErr w:type="spellEnd"/>
      <w:r>
        <w:t xml:space="preserve">. The architecture is: Input(n) </w:t>
      </w:r>
      <w:r>
        <w:rPr>
          <w:rFonts w:ascii="Segoe UI Symbol" w:eastAsia="Segoe UI Symbol" w:hAnsi="Segoe UI Symbol" w:cs="Segoe UI Symbol"/>
        </w:rPr>
        <w:t>→</w:t>
      </w:r>
      <w:r>
        <w:t xml:space="preserve"> Dense(10, </w:t>
      </w:r>
      <w:proofErr w:type="spellStart"/>
      <w:r>
        <w:t>ReLU</w:t>
      </w:r>
      <w:proofErr w:type="spellEnd"/>
      <w:r>
        <w:t xml:space="preserve">) </w:t>
      </w:r>
      <w:r>
        <w:rPr>
          <w:rFonts w:ascii="Segoe UI Symbol" w:eastAsia="Segoe UI Symbol" w:hAnsi="Segoe UI Symbol" w:cs="Segoe UI Symbol"/>
        </w:rPr>
        <w:t>→</w:t>
      </w:r>
      <w:r>
        <w:t xml:space="preserve"> Output(1, Sigmoid). The Adam optimiser with default learning rate 0.001 was used, trained for up to 300 epochs.</w:t>
      </w:r>
    </w:p>
    <w:p w:rsidR="00793A66" w:rsidRDefault="00BD347F">
      <w:pPr>
        <w:pStyle w:val="Heading2"/>
        <w:ind w:left="-5"/>
      </w:pPr>
      <w:r>
        <w:t xml:space="preserve">D. K-Nearest </w:t>
      </w:r>
      <w:proofErr w:type="spellStart"/>
      <w:r>
        <w:t>Neighbors</w:t>
      </w:r>
      <w:proofErr w:type="spellEnd"/>
      <w:r>
        <w:t xml:space="preserve"> (KNN)</w:t>
      </w:r>
    </w:p>
    <w:p w:rsidR="00793A66" w:rsidRDefault="00BD347F">
      <w:pPr>
        <w:spacing w:after="112"/>
        <w:ind w:left="-5"/>
      </w:pPr>
      <w:r>
        <w:t>KNN classifies a test sample by majority vote among its k=5 n</w:t>
      </w:r>
      <w:r>
        <w:t xml:space="preserve">earest training </w:t>
      </w:r>
      <w:proofErr w:type="spellStart"/>
      <w:r>
        <w:t>neighbors</w:t>
      </w:r>
      <w:proofErr w:type="spellEnd"/>
      <w:r>
        <w:t>, measured by Euclidean distance in the scaled feature space. Hyperparameter k was selected empirically based on validation performance.</w:t>
      </w:r>
    </w:p>
    <w:p w:rsidR="00793A66" w:rsidRDefault="00BD347F">
      <w:pPr>
        <w:pStyle w:val="Heading2"/>
        <w:ind w:left="-5"/>
      </w:pPr>
      <w:r>
        <w:lastRenderedPageBreak/>
        <w:t>E. Decision Tree</w:t>
      </w:r>
    </w:p>
    <w:p w:rsidR="00793A66" w:rsidRDefault="00BD347F">
      <w:pPr>
        <w:spacing w:after="202"/>
        <w:ind w:left="-5"/>
      </w:pPr>
      <w:r>
        <w:t>A CART Decision Tree was grown using Gini impurity as the splitting criterion with no maximum depth constraint, allowing the tree to fully partition the training data. Decision trees are inherently interpretable and require no feature scaling.</w:t>
      </w:r>
    </w:p>
    <w:p w:rsidR="00793A66" w:rsidRDefault="00BD347F">
      <w:pPr>
        <w:pStyle w:val="Heading1"/>
      </w:pPr>
      <w:r>
        <w:t>V. RESULTS A</w:t>
      </w:r>
      <w:r>
        <w:t>ND DISCUSSION</w:t>
      </w:r>
    </w:p>
    <w:p w:rsidR="00793A66" w:rsidRDefault="00BD347F">
      <w:pPr>
        <w:spacing w:after="168" w:line="259" w:lineRule="auto"/>
        <w:ind w:left="0" w:firstLine="0"/>
        <w:jc w:val="left"/>
      </w:pPr>
      <w:r>
        <w:rPr>
          <w:rFonts w:ascii="Calibri" w:eastAsia="Calibri" w:hAnsi="Calibri" w:cs="Calibri"/>
          <w:noProof/>
          <w:sz w:val="22"/>
        </w:rPr>
        <mc:AlternateContent>
          <mc:Choice Requires="wpg">
            <w:drawing>
              <wp:inline distT="0" distB="0" distL="0" distR="0">
                <wp:extent cx="6248400" cy="3810"/>
                <wp:effectExtent l="0" t="0" r="0" b="0"/>
                <wp:docPr id="4851" name="Group 4851"/>
                <wp:cNvGraphicFramePr/>
                <a:graphic xmlns:a="http://schemas.openxmlformats.org/drawingml/2006/main">
                  <a:graphicData uri="http://schemas.microsoft.com/office/word/2010/wordprocessingGroup">
                    <wpg:wgp>
                      <wpg:cNvGrpSpPr/>
                      <wpg:grpSpPr>
                        <a:xfrm>
                          <a:off x="0" y="0"/>
                          <a:ext cx="6248400" cy="3810"/>
                          <a:chOff x="0" y="0"/>
                          <a:chExt cx="6248400" cy="3810"/>
                        </a:xfrm>
                      </wpg:grpSpPr>
                      <wps:wsp>
                        <wps:cNvPr id="156" name="Shape 156"/>
                        <wps:cNvSpPr/>
                        <wps:spPr>
                          <a:xfrm>
                            <a:off x="0" y="0"/>
                            <a:ext cx="6248400" cy="0"/>
                          </a:xfrm>
                          <a:custGeom>
                            <a:avLst/>
                            <a:gdLst/>
                            <a:ahLst/>
                            <a:cxnLst/>
                            <a:rect l="0" t="0" r="0" b="0"/>
                            <a:pathLst>
                              <a:path w="6248400">
                                <a:moveTo>
                                  <a:pt x="0" y="0"/>
                                </a:moveTo>
                                <a:lnTo>
                                  <a:pt x="6248400" y="0"/>
                                </a:lnTo>
                              </a:path>
                            </a:pathLst>
                          </a:custGeom>
                          <a:ln w="3810" cap="rnd">
                            <a:miter lim="127000"/>
                          </a:ln>
                        </wps:spPr>
                        <wps:style>
                          <a:lnRef idx="1">
                            <a:srgbClr val="1565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51" style="width:492pt;height:0.3pt;mso-position-horizontal-relative:char;mso-position-vertical-relative:line" coordsize="62484,38">
                <v:shape id="Shape 156" style="position:absolute;width:62484;height:0;left:0;top:0;" coordsize="6248400,0" path="m0,0l6248400,0">
                  <v:stroke weight="0.3pt" endcap="round" joinstyle="miter" miterlimit="10" on="true" color="#1565c0"/>
                  <v:fill on="false" color="#000000" opacity="0"/>
                </v:shape>
              </v:group>
            </w:pict>
          </mc:Fallback>
        </mc:AlternateContent>
      </w:r>
    </w:p>
    <w:p w:rsidR="00793A66" w:rsidRDefault="00BD347F">
      <w:pPr>
        <w:pStyle w:val="Heading2"/>
        <w:ind w:left="-5"/>
      </w:pPr>
      <w:r>
        <w:t>A. Quantitative Performance Summary</w:t>
      </w:r>
    </w:p>
    <w:p w:rsidR="00793A66" w:rsidRDefault="00BD347F">
      <w:pPr>
        <w:ind w:left="-5"/>
      </w:pPr>
      <w:r>
        <w:t>Table I summarises the performance of all five models on the held-out test set of 700 records. Accuracy, Precision, Recall, and F1-Score are reported for classification models; regression metrics (MAE, RM</w:t>
      </w:r>
      <w:r>
        <w:t>SE, R</w:t>
      </w:r>
      <w:r>
        <w:rPr>
          <w:vertAlign w:val="superscript"/>
        </w:rPr>
        <w:t>2</w:t>
      </w:r>
      <w:r>
        <w:t>) are reported for Linear Regression.</w:t>
      </w:r>
    </w:p>
    <w:tbl>
      <w:tblPr>
        <w:tblStyle w:val="TableGrid"/>
        <w:tblW w:w="10080" w:type="dxa"/>
        <w:tblInd w:w="-120" w:type="dxa"/>
        <w:tblCellMar>
          <w:top w:w="125" w:type="dxa"/>
          <w:left w:w="115" w:type="dxa"/>
          <w:bottom w:w="0" w:type="dxa"/>
          <w:right w:w="115" w:type="dxa"/>
        </w:tblCellMar>
        <w:tblLook w:val="04A0" w:firstRow="1" w:lastRow="0" w:firstColumn="1" w:lastColumn="0" w:noHBand="0" w:noVBand="1"/>
      </w:tblPr>
      <w:tblGrid>
        <w:gridCol w:w="2823"/>
        <w:gridCol w:w="1411"/>
        <w:gridCol w:w="1411"/>
        <w:gridCol w:w="1411"/>
        <w:gridCol w:w="1411"/>
        <w:gridCol w:w="1613"/>
      </w:tblGrid>
      <w:tr w:rsidR="00793A66">
        <w:trPr>
          <w:trHeight w:val="360"/>
        </w:trPr>
        <w:tc>
          <w:tcPr>
            <w:tcW w:w="2822" w:type="dxa"/>
            <w:tcBorders>
              <w:top w:val="single" w:sz="3" w:space="0" w:color="90A4AE"/>
              <w:left w:val="single" w:sz="3" w:space="0" w:color="90A4AE"/>
              <w:bottom w:val="single" w:sz="3" w:space="0" w:color="90A4AE"/>
              <w:right w:val="single" w:sz="3" w:space="0" w:color="90A4AE"/>
            </w:tcBorders>
            <w:shd w:val="clear" w:color="auto" w:fill="0A3A6B"/>
          </w:tcPr>
          <w:p w:rsidR="00793A66" w:rsidRDefault="00BD347F">
            <w:pPr>
              <w:spacing w:after="0" w:line="259" w:lineRule="auto"/>
              <w:ind w:left="0" w:firstLine="0"/>
              <w:jc w:val="center"/>
            </w:pPr>
            <w:r>
              <w:rPr>
                <w:b/>
                <w:color w:val="FFFFFF"/>
                <w:sz w:val="16"/>
              </w:rPr>
              <w:t>Model</w:t>
            </w:r>
          </w:p>
        </w:tc>
        <w:tc>
          <w:tcPr>
            <w:tcW w:w="1411" w:type="dxa"/>
            <w:tcBorders>
              <w:top w:val="single" w:sz="3" w:space="0" w:color="90A4AE"/>
              <w:left w:val="single" w:sz="3" w:space="0" w:color="90A4AE"/>
              <w:bottom w:val="single" w:sz="3" w:space="0" w:color="90A4AE"/>
              <w:right w:val="single" w:sz="3" w:space="0" w:color="90A4AE"/>
            </w:tcBorders>
            <w:shd w:val="clear" w:color="auto" w:fill="0A3A6B"/>
          </w:tcPr>
          <w:p w:rsidR="00793A66" w:rsidRDefault="00BD347F">
            <w:pPr>
              <w:spacing w:after="0" w:line="259" w:lineRule="auto"/>
              <w:ind w:left="0" w:firstLine="0"/>
              <w:jc w:val="center"/>
            </w:pPr>
            <w:r>
              <w:rPr>
                <w:b/>
                <w:color w:val="FFFFFF"/>
                <w:sz w:val="16"/>
              </w:rPr>
              <w:t>Accuracy</w:t>
            </w:r>
          </w:p>
        </w:tc>
        <w:tc>
          <w:tcPr>
            <w:tcW w:w="1411" w:type="dxa"/>
            <w:tcBorders>
              <w:top w:val="single" w:sz="3" w:space="0" w:color="90A4AE"/>
              <w:left w:val="single" w:sz="3" w:space="0" w:color="90A4AE"/>
              <w:bottom w:val="single" w:sz="3" w:space="0" w:color="90A4AE"/>
              <w:right w:val="single" w:sz="3" w:space="0" w:color="90A4AE"/>
            </w:tcBorders>
            <w:shd w:val="clear" w:color="auto" w:fill="0A3A6B"/>
          </w:tcPr>
          <w:p w:rsidR="00793A66" w:rsidRDefault="00BD347F">
            <w:pPr>
              <w:spacing w:after="0" w:line="259" w:lineRule="auto"/>
              <w:ind w:left="0" w:firstLine="0"/>
              <w:jc w:val="center"/>
            </w:pPr>
            <w:r>
              <w:rPr>
                <w:b/>
                <w:color w:val="FFFFFF"/>
                <w:sz w:val="16"/>
              </w:rPr>
              <w:t>Precision</w:t>
            </w:r>
          </w:p>
        </w:tc>
        <w:tc>
          <w:tcPr>
            <w:tcW w:w="1411" w:type="dxa"/>
            <w:tcBorders>
              <w:top w:val="single" w:sz="3" w:space="0" w:color="90A4AE"/>
              <w:left w:val="single" w:sz="3" w:space="0" w:color="90A4AE"/>
              <w:bottom w:val="single" w:sz="3" w:space="0" w:color="90A4AE"/>
              <w:right w:val="single" w:sz="3" w:space="0" w:color="90A4AE"/>
            </w:tcBorders>
            <w:shd w:val="clear" w:color="auto" w:fill="0A3A6B"/>
          </w:tcPr>
          <w:p w:rsidR="00793A66" w:rsidRDefault="00BD347F">
            <w:pPr>
              <w:spacing w:after="0" w:line="259" w:lineRule="auto"/>
              <w:ind w:left="0" w:firstLine="0"/>
              <w:jc w:val="center"/>
            </w:pPr>
            <w:r>
              <w:rPr>
                <w:b/>
                <w:color w:val="FFFFFF"/>
                <w:sz w:val="16"/>
              </w:rPr>
              <w:t>Recall</w:t>
            </w:r>
          </w:p>
        </w:tc>
        <w:tc>
          <w:tcPr>
            <w:tcW w:w="1411" w:type="dxa"/>
            <w:tcBorders>
              <w:top w:val="single" w:sz="3" w:space="0" w:color="90A4AE"/>
              <w:left w:val="single" w:sz="3" w:space="0" w:color="90A4AE"/>
              <w:bottom w:val="single" w:sz="3" w:space="0" w:color="90A4AE"/>
              <w:right w:val="single" w:sz="3" w:space="0" w:color="90A4AE"/>
            </w:tcBorders>
            <w:shd w:val="clear" w:color="auto" w:fill="0A3A6B"/>
          </w:tcPr>
          <w:p w:rsidR="00793A66" w:rsidRDefault="00BD347F">
            <w:pPr>
              <w:spacing w:after="0" w:line="259" w:lineRule="auto"/>
              <w:ind w:left="0" w:firstLine="0"/>
              <w:jc w:val="center"/>
            </w:pPr>
            <w:r>
              <w:rPr>
                <w:b/>
                <w:color w:val="FFFFFF"/>
                <w:sz w:val="16"/>
              </w:rPr>
              <w:t>F1-Score</w:t>
            </w:r>
          </w:p>
        </w:tc>
        <w:tc>
          <w:tcPr>
            <w:tcW w:w="1613" w:type="dxa"/>
            <w:tcBorders>
              <w:top w:val="single" w:sz="3" w:space="0" w:color="90A4AE"/>
              <w:left w:val="single" w:sz="3" w:space="0" w:color="90A4AE"/>
              <w:bottom w:val="single" w:sz="3" w:space="0" w:color="90A4AE"/>
              <w:right w:val="single" w:sz="3" w:space="0" w:color="90A4AE"/>
            </w:tcBorders>
            <w:shd w:val="clear" w:color="auto" w:fill="0A3A6B"/>
          </w:tcPr>
          <w:p w:rsidR="00793A66" w:rsidRDefault="00BD347F">
            <w:pPr>
              <w:spacing w:after="0" w:line="259" w:lineRule="auto"/>
              <w:ind w:left="0" w:firstLine="0"/>
              <w:jc w:val="center"/>
            </w:pPr>
            <w:r>
              <w:rPr>
                <w:b/>
                <w:color w:val="FFFFFF"/>
                <w:sz w:val="16"/>
              </w:rPr>
              <w:t>RMSE / R²</w:t>
            </w:r>
          </w:p>
        </w:tc>
      </w:tr>
      <w:tr w:rsidR="00793A66">
        <w:trPr>
          <w:trHeight w:val="360"/>
        </w:trPr>
        <w:tc>
          <w:tcPr>
            <w:tcW w:w="2822" w:type="dxa"/>
            <w:tcBorders>
              <w:top w:val="single" w:sz="3" w:space="0" w:color="90A4AE"/>
              <w:left w:val="single" w:sz="3" w:space="0" w:color="90A4AE"/>
              <w:bottom w:val="single" w:sz="3" w:space="0" w:color="90A4AE"/>
              <w:right w:val="single" w:sz="3" w:space="0" w:color="90A4AE"/>
            </w:tcBorders>
            <w:shd w:val="clear" w:color="auto" w:fill="F0F4F8"/>
          </w:tcPr>
          <w:p w:rsidR="00793A66" w:rsidRDefault="00BD347F">
            <w:pPr>
              <w:spacing w:after="0" w:line="259" w:lineRule="auto"/>
              <w:ind w:left="0" w:firstLine="0"/>
              <w:jc w:val="center"/>
            </w:pPr>
            <w:r>
              <w:rPr>
                <w:sz w:val="16"/>
              </w:rPr>
              <w:t>Linear Regression</w:t>
            </w:r>
          </w:p>
        </w:tc>
        <w:tc>
          <w:tcPr>
            <w:tcW w:w="1411" w:type="dxa"/>
            <w:tcBorders>
              <w:top w:val="single" w:sz="3" w:space="0" w:color="90A4AE"/>
              <w:left w:val="single" w:sz="3" w:space="0" w:color="90A4AE"/>
              <w:bottom w:val="single" w:sz="3" w:space="0" w:color="90A4AE"/>
              <w:right w:val="single" w:sz="3" w:space="0" w:color="90A4AE"/>
            </w:tcBorders>
            <w:shd w:val="clear" w:color="auto" w:fill="F0F4F8"/>
          </w:tcPr>
          <w:p w:rsidR="00793A66" w:rsidRDefault="00BD347F">
            <w:pPr>
              <w:spacing w:after="0" w:line="259" w:lineRule="auto"/>
              <w:ind w:left="0" w:firstLine="0"/>
              <w:jc w:val="center"/>
            </w:pPr>
            <w:r>
              <w:rPr>
                <w:sz w:val="16"/>
              </w:rPr>
              <w:t>—</w:t>
            </w:r>
          </w:p>
        </w:tc>
        <w:tc>
          <w:tcPr>
            <w:tcW w:w="1411" w:type="dxa"/>
            <w:tcBorders>
              <w:top w:val="single" w:sz="3" w:space="0" w:color="90A4AE"/>
              <w:left w:val="single" w:sz="3" w:space="0" w:color="90A4AE"/>
              <w:bottom w:val="single" w:sz="3" w:space="0" w:color="90A4AE"/>
              <w:right w:val="single" w:sz="3" w:space="0" w:color="90A4AE"/>
            </w:tcBorders>
            <w:shd w:val="clear" w:color="auto" w:fill="F0F4F8"/>
          </w:tcPr>
          <w:p w:rsidR="00793A66" w:rsidRDefault="00BD347F">
            <w:pPr>
              <w:spacing w:after="0" w:line="259" w:lineRule="auto"/>
              <w:ind w:left="0" w:firstLine="0"/>
              <w:jc w:val="center"/>
            </w:pPr>
            <w:r>
              <w:rPr>
                <w:sz w:val="16"/>
              </w:rPr>
              <w:t>—</w:t>
            </w:r>
          </w:p>
        </w:tc>
        <w:tc>
          <w:tcPr>
            <w:tcW w:w="1411" w:type="dxa"/>
            <w:tcBorders>
              <w:top w:val="single" w:sz="3" w:space="0" w:color="90A4AE"/>
              <w:left w:val="single" w:sz="3" w:space="0" w:color="90A4AE"/>
              <w:bottom w:val="single" w:sz="3" w:space="0" w:color="90A4AE"/>
              <w:right w:val="single" w:sz="3" w:space="0" w:color="90A4AE"/>
            </w:tcBorders>
            <w:shd w:val="clear" w:color="auto" w:fill="F0F4F8"/>
          </w:tcPr>
          <w:p w:rsidR="00793A66" w:rsidRDefault="00BD347F">
            <w:pPr>
              <w:spacing w:after="0" w:line="259" w:lineRule="auto"/>
              <w:ind w:left="0" w:firstLine="0"/>
              <w:jc w:val="center"/>
            </w:pPr>
            <w:r>
              <w:rPr>
                <w:sz w:val="16"/>
              </w:rPr>
              <w:t>—</w:t>
            </w:r>
          </w:p>
        </w:tc>
        <w:tc>
          <w:tcPr>
            <w:tcW w:w="1411" w:type="dxa"/>
            <w:tcBorders>
              <w:top w:val="single" w:sz="3" w:space="0" w:color="90A4AE"/>
              <w:left w:val="single" w:sz="3" w:space="0" w:color="90A4AE"/>
              <w:bottom w:val="single" w:sz="3" w:space="0" w:color="90A4AE"/>
              <w:right w:val="single" w:sz="3" w:space="0" w:color="90A4AE"/>
            </w:tcBorders>
            <w:shd w:val="clear" w:color="auto" w:fill="F0F4F8"/>
          </w:tcPr>
          <w:p w:rsidR="00793A66" w:rsidRDefault="00BD347F">
            <w:pPr>
              <w:spacing w:after="0" w:line="259" w:lineRule="auto"/>
              <w:ind w:left="0" w:firstLine="0"/>
              <w:jc w:val="center"/>
            </w:pPr>
            <w:r>
              <w:rPr>
                <w:sz w:val="16"/>
              </w:rPr>
              <w:t>—</w:t>
            </w:r>
          </w:p>
        </w:tc>
        <w:tc>
          <w:tcPr>
            <w:tcW w:w="1613" w:type="dxa"/>
            <w:tcBorders>
              <w:top w:val="single" w:sz="3" w:space="0" w:color="90A4AE"/>
              <w:left w:val="single" w:sz="3" w:space="0" w:color="90A4AE"/>
              <w:bottom w:val="single" w:sz="3" w:space="0" w:color="90A4AE"/>
              <w:right w:val="single" w:sz="3" w:space="0" w:color="90A4AE"/>
            </w:tcBorders>
            <w:shd w:val="clear" w:color="auto" w:fill="F0F4F8"/>
          </w:tcPr>
          <w:p w:rsidR="00793A66" w:rsidRDefault="00BD347F">
            <w:pPr>
              <w:spacing w:after="0" w:line="259" w:lineRule="auto"/>
              <w:ind w:left="0" w:firstLine="0"/>
              <w:jc w:val="center"/>
            </w:pPr>
            <w:r>
              <w:rPr>
                <w:sz w:val="16"/>
              </w:rPr>
              <w:t>5.44 / 1.00</w:t>
            </w:r>
          </w:p>
        </w:tc>
      </w:tr>
      <w:tr w:rsidR="00793A66">
        <w:trPr>
          <w:trHeight w:val="360"/>
        </w:trPr>
        <w:tc>
          <w:tcPr>
            <w:tcW w:w="2822" w:type="dxa"/>
            <w:tcBorders>
              <w:top w:val="single" w:sz="3" w:space="0" w:color="90A4AE"/>
              <w:left w:val="single" w:sz="3" w:space="0" w:color="90A4AE"/>
              <w:bottom w:val="single" w:sz="3" w:space="0" w:color="90A4AE"/>
              <w:right w:val="single" w:sz="3" w:space="0" w:color="90A4AE"/>
            </w:tcBorders>
            <w:shd w:val="clear" w:color="auto" w:fill="FFFFFF"/>
          </w:tcPr>
          <w:p w:rsidR="00793A66" w:rsidRDefault="00BD347F">
            <w:pPr>
              <w:spacing w:after="0" w:line="259" w:lineRule="auto"/>
              <w:ind w:left="0" w:firstLine="0"/>
              <w:jc w:val="center"/>
            </w:pPr>
            <w:r>
              <w:rPr>
                <w:sz w:val="16"/>
              </w:rPr>
              <w:t>Logistic Regression</w:t>
            </w:r>
          </w:p>
        </w:tc>
        <w:tc>
          <w:tcPr>
            <w:tcW w:w="1411" w:type="dxa"/>
            <w:tcBorders>
              <w:top w:val="single" w:sz="3" w:space="0" w:color="90A4AE"/>
              <w:left w:val="single" w:sz="3" w:space="0" w:color="90A4AE"/>
              <w:bottom w:val="single" w:sz="3" w:space="0" w:color="90A4AE"/>
              <w:right w:val="single" w:sz="3" w:space="0" w:color="90A4AE"/>
            </w:tcBorders>
            <w:shd w:val="clear" w:color="auto" w:fill="FFFFFF"/>
          </w:tcPr>
          <w:p w:rsidR="00793A66" w:rsidRDefault="00BD347F">
            <w:pPr>
              <w:spacing w:after="0" w:line="259" w:lineRule="auto"/>
              <w:ind w:left="0" w:firstLine="0"/>
              <w:jc w:val="center"/>
            </w:pPr>
            <w:r>
              <w:rPr>
                <w:sz w:val="16"/>
              </w:rPr>
              <w:t>0.93</w:t>
            </w:r>
          </w:p>
        </w:tc>
        <w:tc>
          <w:tcPr>
            <w:tcW w:w="1411" w:type="dxa"/>
            <w:tcBorders>
              <w:top w:val="single" w:sz="3" w:space="0" w:color="90A4AE"/>
              <w:left w:val="single" w:sz="3" w:space="0" w:color="90A4AE"/>
              <w:bottom w:val="single" w:sz="3" w:space="0" w:color="90A4AE"/>
              <w:right w:val="single" w:sz="3" w:space="0" w:color="90A4AE"/>
            </w:tcBorders>
            <w:shd w:val="clear" w:color="auto" w:fill="FFFFFF"/>
          </w:tcPr>
          <w:p w:rsidR="00793A66" w:rsidRDefault="00BD347F">
            <w:pPr>
              <w:spacing w:after="0" w:line="259" w:lineRule="auto"/>
              <w:ind w:left="0" w:firstLine="0"/>
              <w:jc w:val="center"/>
            </w:pPr>
            <w:r>
              <w:rPr>
                <w:sz w:val="16"/>
              </w:rPr>
              <w:t>0.93</w:t>
            </w:r>
          </w:p>
        </w:tc>
        <w:tc>
          <w:tcPr>
            <w:tcW w:w="1411" w:type="dxa"/>
            <w:tcBorders>
              <w:top w:val="single" w:sz="3" w:space="0" w:color="90A4AE"/>
              <w:left w:val="single" w:sz="3" w:space="0" w:color="90A4AE"/>
              <w:bottom w:val="single" w:sz="3" w:space="0" w:color="90A4AE"/>
              <w:right w:val="single" w:sz="3" w:space="0" w:color="90A4AE"/>
            </w:tcBorders>
            <w:shd w:val="clear" w:color="auto" w:fill="FFFFFF"/>
          </w:tcPr>
          <w:p w:rsidR="00793A66" w:rsidRDefault="00BD347F">
            <w:pPr>
              <w:spacing w:after="0" w:line="259" w:lineRule="auto"/>
              <w:ind w:left="0" w:firstLine="0"/>
              <w:jc w:val="center"/>
            </w:pPr>
            <w:r>
              <w:rPr>
                <w:sz w:val="16"/>
              </w:rPr>
              <w:t>0.93</w:t>
            </w:r>
          </w:p>
        </w:tc>
        <w:tc>
          <w:tcPr>
            <w:tcW w:w="1411" w:type="dxa"/>
            <w:tcBorders>
              <w:top w:val="single" w:sz="3" w:space="0" w:color="90A4AE"/>
              <w:left w:val="single" w:sz="3" w:space="0" w:color="90A4AE"/>
              <w:bottom w:val="single" w:sz="3" w:space="0" w:color="90A4AE"/>
              <w:right w:val="single" w:sz="3" w:space="0" w:color="90A4AE"/>
            </w:tcBorders>
            <w:shd w:val="clear" w:color="auto" w:fill="FFFFFF"/>
          </w:tcPr>
          <w:p w:rsidR="00793A66" w:rsidRDefault="00BD347F">
            <w:pPr>
              <w:spacing w:after="0" w:line="259" w:lineRule="auto"/>
              <w:ind w:left="0" w:firstLine="0"/>
              <w:jc w:val="center"/>
            </w:pPr>
            <w:r>
              <w:rPr>
                <w:sz w:val="16"/>
              </w:rPr>
              <w:t>0.93</w:t>
            </w:r>
          </w:p>
        </w:tc>
        <w:tc>
          <w:tcPr>
            <w:tcW w:w="1613" w:type="dxa"/>
            <w:tcBorders>
              <w:top w:val="single" w:sz="3" w:space="0" w:color="90A4AE"/>
              <w:left w:val="single" w:sz="3" w:space="0" w:color="90A4AE"/>
              <w:bottom w:val="single" w:sz="3" w:space="0" w:color="90A4AE"/>
              <w:right w:val="single" w:sz="3" w:space="0" w:color="90A4AE"/>
            </w:tcBorders>
            <w:shd w:val="clear" w:color="auto" w:fill="FFFFFF"/>
          </w:tcPr>
          <w:p w:rsidR="00793A66" w:rsidRDefault="00BD347F">
            <w:pPr>
              <w:spacing w:after="0" w:line="259" w:lineRule="auto"/>
              <w:ind w:left="0" w:firstLine="0"/>
              <w:jc w:val="center"/>
            </w:pPr>
            <w:r>
              <w:rPr>
                <w:sz w:val="16"/>
              </w:rPr>
              <w:t>—</w:t>
            </w:r>
          </w:p>
        </w:tc>
      </w:tr>
      <w:tr w:rsidR="00793A66">
        <w:trPr>
          <w:trHeight w:val="360"/>
        </w:trPr>
        <w:tc>
          <w:tcPr>
            <w:tcW w:w="2822" w:type="dxa"/>
            <w:tcBorders>
              <w:top w:val="single" w:sz="3" w:space="0" w:color="90A4AE"/>
              <w:left w:val="single" w:sz="3" w:space="0" w:color="90A4AE"/>
              <w:bottom w:val="single" w:sz="3" w:space="0" w:color="90A4AE"/>
              <w:right w:val="single" w:sz="3" w:space="0" w:color="90A4AE"/>
            </w:tcBorders>
            <w:shd w:val="clear" w:color="auto" w:fill="F0F4F8"/>
          </w:tcPr>
          <w:p w:rsidR="00793A66" w:rsidRDefault="00BD347F">
            <w:pPr>
              <w:spacing w:after="0" w:line="259" w:lineRule="auto"/>
              <w:ind w:left="0" w:firstLine="0"/>
              <w:jc w:val="center"/>
            </w:pPr>
            <w:r>
              <w:rPr>
                <w:sz w:val="16"/>
              </w:rPr>
              <w:t>ANN (10 neurons)</w:t>
            </w:r>
          </w:p>
        </w:tc>
        <w:tc>
          <w:tcPr>
            <w:tcW w:w="1411" w:type="dxa"/>
            <w:tcBorders>
              <w:top w:val="single" w:sz="3" w:space="0" w:color="90A4AE"/>
              <w:left w:val="single" w:sz="3" w:space="0" w:color="90A4AE"/>
              <w:bottom w:val="single" w:sz="3" w:space="0" w:color="90A4AE"/>
              <w:right w:val="single" w:sz="3" w:space="0" w:color="90A4AE"/>
            </w:tcBorders>
            <w:shd w:val="clear" w:color="auto" w:fill="F0F4F8"/>
          </w:tcPr>
          <w:p w:rsidR="00793A66" w:rsidRDefault="00BD347F">
            <w:pPr>
              <w:spacing w:after="0" w:line="259" w:lineRule="auto"/>
              <w:ind w:left="0" w:firstLine="0"/>
              <w:jc w:val="center"/>
            </w:pPr>
            <w:r>
              <w:rPr>
                <w:sz w:val="16"/>
              </w:rPr>
              <w:t>0.84</w:t>
            </w:r>
          </w:p>
        </w:tc>
        <w:tc>
          <w:tcPr>
            <w:tcW w:w="1411" w:type="dxa"/>
            <w:tcBorders>
              <w:top w:val="single" w:sz="3" w:space="0" w:color="90A4AE"/>
              <w:left w:val="single" w:sz="3" w:space="0" w:color="90A4AE"/>
              <w:bottom w:val="single" w:sz="3" w:space="0" w:color="90A4AE"/>
              <w:right w:val="single" w:sz="3" w:space="0" w:color="90A4AE"/>
            </w:tcBorders>
            <w:shd w:val="clear" w:color="auto" w:fill="F0F4F8"/>
          </w:tcPr>
          <w:p w:rsidR="00793A66" w:rsidRDefault="00BD347F">
            <w:pPr>
              <w:spacing w:after="0" w:line="259" w:lineRule="auto"/>
              <w:ind w:left="0" w:firstLine="0"/>
              <w:jc w:val="center"/>
            </w:pPr>
            <w:r>
              <w:rPr>
                <w:sz w:val="16"/>
              </w:rPr>
              <w:t>0.84</w:t>
            </w:r>
          </w:p>
        </w:tc>
        <w:tc>
          <w:tcPr>
            <w:tcW w:w="1411" w:type="dxa"/>
            <w:tcBorders>
              <w:top w:val="single" w:sz="3" w:space="0" w:color="90A4AE"/>
              <w:left w:val="single" w:sz="3" w:space="0" w:color="90A4AE"/>
              <w:bottom w:val="single" w:sz="3" w:space="0" w:color="90A4AE"/>
              <w:right w:val="single" w:sz="3" w:space="0" w:color="90A4AE"/>
            </w:tcBorders>
            <w:shd w:val="clear" w:color="auto" w:fill="F0F4F8"/>
          </w:tcPr>
          <w:p w:rsidR="00793A66" w:rsidRDefault="00BD347F">
            <w:pPr>
              <w:spacing w:after="0" w:line="259" w:lineRule="auto"/>
              <w:ind w:left="0" w:firstLine="0"/>
              <w:jc w:val="center"/>
            </w:pPr>
            <w:r>
              <w:rPr>
                <w:sz w:val="16"/>
              </w:rPr>
              <w:t>0.84</w:t>
            </w:r>
          </w:p>
        </w:tc>
        <w:tc>
          <w:tcPr>
            <w:tcW w:w="1411" w:type="dxa"/>
            <w:tcBorders>
              <w:top w:val="single" w:sz="3" w:space="0" w:color="90A4AE"/>
              <w:left w:val="single" w:sz="3" w:space="0" w:color="90A4AE"/>
              <w:bottom w:val="single" w:sz="3" w:space="0" w:color="90A4AE"/>
              <w:right w:val="single" w:sz="3" w:space="0" w:color="90A4AE"/>
            </w:tcBorders>
            <w:shd w:val="clear" w:color="auto" w:fill="F0F4F8"/>
          </w:tcPr>
          <w:p w:rsidR="00793A66" w:rsidRDefault="00BD347F">
            <w:pPr>
              <w:spacing w:after="0" w:line="259" w:lineRule="auto"/>
              <w:ind w:left="0" w:firstLine="0"/>
              <w:jc w:val="center"/>
            </w:pPr>
            <w:r>
              <w:rPr>
                <w:sz w:val="16"/>
              </w:rPr>
              <w:t>0.84</w:t>
            </w:r>
          </w:p>
        </w:tc>
        <w:tc>
          <w:tcPr>
            <w:tcW w:w="1613" w:type="dxa"/>
            <w:tcBorders>
              <w:top w:val="single" w:sz="3" w:space="0" w:color="90A4AE"/>
              <w:left w:val="single" w:sz="3" w:space="0" w:color="90A4AE"/>
              <w:bottom w:val="single" w:sz="3" w:space="0" w:color="90A4AE"/>
              <w:right w:val="single" w:sz="3" w:space="0" w:color="90A4AE"/>
            </w:tcBorders>
            <w:shd w:val="clear" w:color="auto" w:fill="F0F4F8"/>
          </w:tcPr>
          <w:p w:rsidR="00793A66" w:rsidRDefault="00BD347F">
            <w:pPr>
              <w:spacing w:after="0" w:line="259" w:lineRule="auto"/>
              <w:ind w:left="0" w:firstLine="0"/>
              <w:jc w:val="center"/>
            </w:pPr>
            <w:r>
              <w:rPr>
                <w:sz w:val="16"/>
              </w:rPr>
              <w:t>—</w:t>
            </w:r>
          </w:p>
        </w:tc>
      </w:tr>
      <w:tr w:rsidR="00793A66">
        <w:trPr>
          <w:trHeight w:val="360"/>
        </w:trPr>
        <w:tc>
          <w:tcPr>
            <w:tcW w:w="2822" w:type="dxa"/>
            <w:tcBorders>
              <w:top w:val="single" w:sz="3" w:space="0" w:color="90A4AE"/>
              <w:left w:val="single" w:sz="3" w:space="0" w:color="90A4AE"/>
              <w:bottom w:val="single" w:sz="3" w:space="0" w:color="90A4AE"/>
              <w:right w:val="single" w:sz="3" w:space="0" w:color="90A4AE"/>
            </w:tcBorders>
            <w:shd w:val="clear" w:color="auto" w:fill="FFFFFF"/>
          </w:tcPr>
          <w:p w:rsidR="00793A66" w:rsidRDefault="00BD347F">
            <w:pPr>
              <w:spacing w:after="0" w:line="259" w:lineRule="auto"/>
              <w:ind w:left="0" w:firstLine="0"/>
              <w:jc w:val="center"/>
            </w:pPr>
            <w:r>
              <w:rPr>
                <w:sz w:val="16"/>
              </w:rPr>
              <w:t>KNN (k=5)</w:t>
            </w:r>
          </w:p>
        </w:tc>
        <w:tc>
          <w:tcPr>
            <w:tcW w:w="1411" w:type="dxa"/>
            <w:tcBorders>
              <w:top w:val="single" w:sz="3" w:space="0" w:color="90A4AE"/>
              <w:left w:val="single" w:sz="3" w:space="0" w:color="90A4AE"/>
              <w:bottom w:val="single" w:sz="3" w:space="0" w:color="90A4AE"/>
              <w:right w:val="single" w:sz="3" w:space="0" w:color="90A4AE"/>
            </w:tcBorders>
            <w:shd w:val="clear" w:color="auto" w:fill="FFFFFF"/>
          </w:tcPr>
          <w:p w:rsidR="00793A66" w:rsidRDefault="00BD347F">
            <w:pPr>
              <w:spacing w:after="0" w:line="259" w:lineRule="auto"/>
              <w:ind w:left="0" w:firstLine="0"/>
              <w:jc w:val="center"/>
            </w:pPr>
            <w:r>
              <w:rPr>
                <w:sz w:val="16"/>
              </w:rPr>
              <w:t>0.82</w:t>
            </w:r>
          </w:p>
        </w:tc>
        <w:tc>
          <w:tcPr>
            <w:tcW w:w="1411" w:type="dxa"/>
            <w:tcBorders>
              <w:top w:val="single" w:sz="3" w:space="0" w:color="90A4AE"/>
              <w:left w:val="single" w:sz="3" w:space="0" w:color="90A4AE"/>
              <w:bottom w:val="single" w:sz="3" w:space="0" w:color="90A4AE"/>
              <w:right w:val="single" w:sz="3" w:space="0" w:color="90A4AE"/>
            </w:tcBorders>
            <w:shd w:val="clear" w:color="auto" w:fill="FFFFFF"/>
          </w:tcPr>
          <w:p w:rsidR="00793A66" w:rsidRDefault="00BD347F">
            <w:pPr>
              <w:spacing w:after="0" w:line="259" w:lineRule="auto"/>
              <w:ind w:left="0" w:firstLine="0"/>
              <w:jc w:val="center"/>
            </w:pPr>
            <w:r>
              <w:rPr>
                <w:sz w:val="16"/>
              </w:rPr>
              <w:t>0.82</w:t>
            </w:r>
          </w:p>
        </w:tc>
        <w:tc>
          <w:tcPr>
            <w:tcW w:w="1411" w:type="dxa"/>
            <w:tcBorders>
              <w:top w:val="single" w:sz="3" w:space="0" w:color="90A4AE"/>
              <w:left w:val="single" w:sz="3" w:space="0" w:color="90A4AE"/>
              <w:bottom w:val="single" w:sz="3" w:space="0" w:color="90A4AE"/>
              <w:right w:val="single" w:sz="3" w:space="0" w:color="90A4AE"/>
            </w:tcBorders>
            <w:shd w:val="clear" w:color="auto" w:fill="FFFFFF"/>
          </w:tcPr>
          <w:p w:rsidR="00793A66" w:rsidRDefault="00BD347F">
            <w:pPr>
              <w:spacing w:after="0" w:line="259" w:lineRule="auto"/>
              <w:ind w:left="0" w:firstLine="0"/>
              <w:jc w:val="center"/>
            </w:pPr>
            <w:r>
              <w:rPr>
                <w:sz w:val="16"/>
              </w:rPr>
              <w:t>0.82</w:t>
            </w:r>
          </w:p>
        </w:tc>
        <w:tc>
          <w:tcPr>
            <w:tcW w:w="1411" w:type="dxa"/>
            <w:tcBorders>
              <w:top w:val="single" w:sz="3" w:space="0" w:color="90A4AE"/>
              <w:left w:val="single" w:sz="3" w:space="0" w:color="90A4AE"/>
              <w:bottom w:val="single" w:sz="3" w:space="0" w:color="90A4AE"/>
              <w:right w:val="single" w:sz="3" w:space="0" w:color="90A4AE"/>
            </w:tcBorders>
            <w:shd w:val="clear" w:color="auto" w:fill="FFFFFF"/>
          </w:tcPr>
          <w:p w:rsidR="00793A66" w:rsidRDefault="00BD347F">
            <w:pPr>
              <w:spacing w:after="0" w:line="259" w:lineRule="auto"/>
              <w:ind w:left="0" w:firstLine="0"/>
              <w:jc w:val="center"/>
            </w:pPr>
            <w:r>
              <w:rPr>
                <w:sz w:val="16"/>
              </w:rPr>
              <w:t>0.82</w:t>
            </w:r>
          </w:p>
        </w:tc>
        <w:tc>
          <w:tcPr>
            <w:tcW w:w="1613" w:type="dxa"/>
            <w:tcBorders>
              <w:top w:val="single" w:sz="3" w:space="0" w:color="90A4AE"/>
              <w:left w:val="single" w:sz="3" w:space="0" w:color="90A4AE"/>
              <w:bottom w:val="single" w:sz="3" w:space="0" w:color="90A4AE"/>
              <w:right w:val="single" w:sz="3" w:space="0" w:color="90A4AE"/>
            </w:tcBorders>
            <w:shd w:val="clear" w:color="auto" w:fill="FFFFFF"/>
          </w:tcPr>
          <w:p w:rsidR="00793A66" w:rsidRDefault="00BD347F">
            <w:pPr>
              <w:spacing w:after="0" w:line="259" w:lineRule="auto"/>
              <w:ind w:left="0" w:firstLine="0"/>
              <w:jc w:val="center"/>
            </w:pPr>
            <w:r>
              <w:rPr>
                <w:sz w:val="16"/>
              </w:rPr>
              <w:t>—</w:t>
            </w:r>
          </w:p>
        </w:tc>
      </w:tr>
      <w:tr w:rsidR="00793A66">
        <w:trPr>
          <w:trHeight w:val="360"/>
        </w:trPr>
        <w:tc>
          <w:tcPr>
            <w:tcW w:w="2822" w:type="dxa"/>
            <w:tcBorders>
              <w:top w:val="single" w:sz="3" w:space="0" w:color="90A4AE"/>
              <w:left w:val="single" w:sz="3" w:space="0" w:color="90A4AE"/>
              <w:bottom w:val="single" w:sz="3" w:space="0" w:color="90A4AE"/>
              <w:right w:val="single" w:sz="3" w:space="0" w:color="90A4AE"/>
            </w:tcBorders>
            <w:shd w:val="clear" w:color="auto" w:fill="E3F2FD"/>
          </w:tcPr>
          <w:p w:rsidR="00793A66" w:rsidRDefault="00BD347F">
            <w:pPr>
              <w:spacing w:after="0" w:line="259" w:lineRule="auto"/>
              <w:ind w:left="0" w:firstLine="0"/>
              <w:jc w:val="center"/>
            </w:pPr>
            <w:r>
              <w:rPr>
                <w:b/>
                <w:sz w:val="16"/>
              </w:rPr>
              <w:t>Decision Tree</w:t>
            </w:r>
          </w:p>
        </w:tc>
        <w:tc>
          <w:tcPr>
            <w:tcW w:w="1411" w:type="dxa"/>
            <w:tcBorders>
              <w:top w:val="single" w:sz="3" w:space="0" w:color="90A4AE"/>
              <w:left w:val="single" w:sz="3" w:space="0" w:color="90A4AE"/>
              <w:bottom w:val="single" w:sz="3" w:space="0" w:color="90A4AE"/>
              <w:right w:val="single" w:sz="3" w:space="0" w:color="90A4AE"/>
            </w:tcBorders>
            <w:shd w:val="clear" w:color="auto" w:fill="E3F2FD"/>
          </w:tcPr>
          <w:p w:rsidR="00793A66" w:rsidRDefault="00BD347F">
            <w:pPr>
              <w:spacing w:after="0" w:line="259" w:lineRule="auto"/>
              <w:ind w:left="0" w:firstLine="0"/>
              <w:jc w:val="center"/>
            </w:pPr>
            <w:r>
              <w:rPr>
                <w:b/>
                <w:sz w:val="16"/>
              </w:rPr>
              <w:t>0.94</w:t>
            </w:r>
          </w:p>
        </w:tc>
        <w:tc>
          <w:tcPr>
            <w:tcW w:w="1411" w:type="dxa"/>
            <w:tcBorders>
              <w:top w:val="single" w:sz="3" w:space="0" w:color="90A4AE"/>
              <w:left w:val="single" w:sz="3" w:space="0" w:color="90A4AE"/>
              <w:bottom w:val="single" w:sz="3" w:space="0" w:color="90A4AE"/>
              <w:right w:val="single" w:sz="3" w:space="0" w:color="90A4AE"/>
            </w:tcBorders>
            <w:shd w:val="clear" w:color="auto" w:fill="E3F2FD"/>
          </w:tcPr>
          <w:p w:rsidR="00793A66" w:rsidRDefault="00BD347F">
            <w:pPr>
              <w:spacing w:after="0" w:line="259" w:lineRule="auto"/>
              <w:ind w:left="0" w:firstLine="0"/>
              <w:jc w:val="center"/>
            </w:pPr>
            <w:r>
              <w:rPr>
                <w:b/>
                <w:sz w:val="16"/>
              </w:rPr>
              <w:t>0.94</w:t>
            </w:r>
          </w:p>
        </w:tc>
        <w:tc>
          <w:tcPr>
            <w:tcW w:w="1411" w:type="dxa"/>
            <w:tcBorders>
              <w:top w:val="single" w:sz="3" w:space="0" w:color="90A4AE"/>
              <w:left w:val="single" w:sz="3" w:space="0" w:color="90A4AE"/>
              <w:bottom w:val="single" w:sz="3" w:space="0" w:color="90A4AE"/>
              <w:right w:val="single" w:sz="3" w:space="0" w:color="90A4AE"/>
            </w:tcBorders>
            <w:shd w:val="clear" w:color="auto" w:fill="E3F2FD"/>
          </w:tcPr>
          <w:p w:rsidR="00793A66" w:rsidRDefault="00BD347F">
            <w:pPr>
              <w:spacing w:after="0" w:line="259" w:lineRule="auto"/>
              <w:ind w:left="0" w:firstLine="0"/>
              <w:jc w:val="center"/>
            </w:pPr>
            <w:r>
              <w:rPr>
                <w:b/>
                <w:sz w:val="16"/>
              </w:rPr>
              <w:t>0.94</w:t>
            </w:r>
          </w:p>
        </w:tc>
        <w:tc>
          <w:tcPr>
            <w:tcW w:w="1411" w:type="dxa"/>
            <w:tcBorders>
              <w:top w:val="single" w:sz="3" w:space="0" w:color="90A4AE"/>
              <w:left w:val="single" w:sz="3" w:space="0" w:color="90A4AE"/>
              <w:bottom w:val="single" w:sz="3" w:space="0" w:color="90A4AE"/>
              <w:right w:val="single" w:sz="3" w:space="0" w:color="90A4AE"/>
            </w:tcBorders>
            <w:shd w:val="clear" w:color="auto" w:fill="E3F2FD"/>
          </w:tcPr>
          <w:p w:rsidR="00793A66" w:rsidRDefault="00BD347F">
            <w:pPr>
              <w:spacing w:after="0" w:line="259" w:lineRule="auto"/>
              <w:ind w:left="0" w:firstLine="0"/>
              <w:jc w:val="center"/>
            </w:pPr>
            <w:r>
              <w:rPr>
                <w:b/>
                <w:sz w:val="16"/>
              </w:rPr>
              <w:t>0.94</w:t>
            </w:r>
          </w:p>
        </w:tc>
        <w:tc>
          <w:tcPr>
            <w:tcW w:w="1613" w:type="dxa"/>
            <w:tcBorders>
              <w:top w:val="single" w:sz="3" w:space="0" w:color="90A4AE"/>
              <w:left w:val="single" w:sz="3" w:space="0" w:color="90A4AE"/>
              <w:bottom w:val="single" w:sz="3" w:space="0" w:color="90A4AE"/>
              <w:right w:val="single" w:sz="3" w:space="0" w:color="90A4AE"/>
            </w:tcBorders>
            <w:shd w:val="clear" w:color="auto" w:fill="E3F2FD"/>
          </w:tcPr>
          <w:p w:rsidR="00793A66" w:rsidRDefault="00BD347F">
            <w:pPr>
              <w:spacing w:after="0" w:line="259" w:lineRule="auto"/>
              <w:ind w:left="0" w:firstLine="0"/>
              <w:jc w:val="center"/>
            </w:pPr>
            <w:r>
              <w:rPr>
                <w:sz w:val="16"/>
              </w:rPr>
              <w:t>—</w:t>
            </w:r>
          </w:p>
        </w:tc>
      </w:tr>
    </w:tbl>
    <w:p w:rsidR="00793A66" w:rsidRDefault="00BD347F">
      <w:pPr>
        <w:spacing w:after="85" w:line="264" w:lineRule="auto"/>
        <w:jc w:val="center"/>
      </w:pPr>
      <w:r>
        <w:rPr>
          <w:color w:val="90A4AE"/>
          <w:sz w:val="16"/>
        </w:rPr>
        <w:t>TABLE I. COMPARATIVE PERFORMANCE OF ML MODELS ON THE TEST SET (n=700)</w:t>
      </w:r>
    </w:p>
    <w:p w:rsidR="00793A66" w:rsidRDefault="00BD347F">
      <w:pPr>
        <w:spacing w:after="105" w:line="259" w:lineRule="auto"/>
        <w:ind w:left="-120" w:right="-120" w:firstLine="0"/>
        <w:jc w:val="left"/>
      </w:pPr>
      <w:r>
        <w:rPr>
          <w:noProof/>
        </w:rPr>
        <w:drawing>
          <wp:inline distT="0" distB="0" distL="0" distR="0">
            <wp:extent cx="6400800" cy="352044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9"/>
                    <a:stretch>
                      <a:fillRect/>
                    </a:stretch>
                  </pic:blipFill>
                  <pic:spPr>
                    <a:xfrm>
                      <a:off x="0" y="0"/>
                      <a:ext cx="6400800" cy="3520440"/>
                    </a:xfrm>
                    <a:prstGeom prst="rect">
                      <a:avLst/>
                    </a:prstGeom>
                  </pic:spPr>
                </pic:pic>
              </a:graphicData>
            </a:graphic>
          </wp:inline>
        </w:drawing>
      </w:r>
    </w:p>
    <w:p w:rsidR="00793A66" w:rsidRDefault="00BD347F">
      <w:pPr>
        <w:spacing w:after="168" w:line="264" w:lineRule="auto"/>
        <w:jc w:val="center"/>
      </w:pPr>
      <w:r>
        <w:rPr>
          <w:color w:val="90A4AE"/>
          <w:sz w:val="16"/>
        </w:rPr>
        <w:t>Fig. 1. Accuracy comparison of all five ML models. The red dashed line denotes the 80% performance target.</w:t>
      </w:r>
    </w:p>
    <w:p w:rsidR="00793A66" w:rsidRDefault="00BD347F">
      <w:pPr>
        <w:pStyle w:val="Heading2"/>
        <w:spacing w:after="131"/>
        <w:ind w:left="-5"/>
      </w:pPr>
      <w:r>
        <w:t>B. Model-Specific Analysis</w:t>
      </w:r>
    </w:p>
    <w:p w:rsidR="00793A66" w:rsidRDefault="00BD347F">
      <w:pPr>
        <w:ind w:left="-5"/>
      </w:pPr>
      <w:r>
        <w:rPr>
          <w:b/>
        </w:rPr>
        <w:t>Linear Regression</w:t>
      </w:r>
      <w:r>
        <w:t xml:space="preserve"> achieved an R</w:t>
      </w:r>
      <w:r>
        <w:rPr>
          <w:vertAlign w:val="superscript"/>
        </w:rPr>
        <w:t>2</w:t>
      </w:r>
      <w:r>
        <w:t xml:space="preserve"> of 1.00 with coefficient </w:t>
      </w:r>
      <w:r>
        <w:rPr>
          <w:rFonts w:ascii="Segoe UI Symbol" w:eastAsia="Segoe UI Symbol" w:hAnsi="Segoe UI Symbol" w:cs="Segoe UI Symbol"/>
        </w:rPr>
        <w:t xml:space="preserve">β </w:t>
      </w:r>
      <w:r>
        <w:t>=1.00 and intercept 0.47, confirming an almost perfect linear</w:t>
      </w:r>
    </w:p>
    <w:p w:rsidR="00793A66" w:rsidRDefault="00BD347F">
      <w:pPr>
        <w:spacing w:after="0" w:line="259" w:lineRule="auto"/>
        <w:ind w:left="41" w:firstLine="0"/>
        <w:jc w:val="center"/>
      </w:pPr>
      <w:r>
        <w:rPr>
          <w:sz w:val="14"/>
        </w:rPr>
        <w:t>1</w:t>
      </w:r>
    </w:p>
    <w:p w:rsidR="00793A66" w:rsidRDefault="00BD347F">
      <w:pPr>
        <w:spacing w:after="102"/>
        <w:ind w:left="-5"/>
      </w:pPr>
      <w:r>
        <w:lastRenderedPageBreak/>
        <w:t>relationship between opening and closing prices. The RMSE of 5.44 USD represents less than 0.5% of the median price, indicating high</w:t>
      </w:r>
      <w:r>
        <w:t xml:space="preserve"> practical precision for price-level prediction.</w:t>
      </w:r>
    </w:p>
    <w:p w:rsidR="00793A66" w:rsidRDefault="00BD347F">
      <w:pPr>
        <w:spacing w:after="100" w:line="301" w:lineRule="auto"/>
        <w:ind w:left="0" w:firstLine="0"/>
        <w:jc w:val="left"/>
      </w:pPr>
      <w:r>
        <w:rPr>
          <w:b/>
        </w:rPr>
        <w:t>Logistic Regression</w:t>
      </w:r>
      <w:r>
        <w:t xml:space="preserve"> achieved an accuracy of 0.93 with balanced precision and recall across both classes (False: precision 0.92, recall 0.95; True: precision 0.94, recall 0.91). The balanced class weighting proved critical for preventing bias towards the majority class.</w:t>
      </w:r>
    </w:p>
    <w:p w:rsidR="00793A66" w:rsidRDefault="00BD347F">
      <w:pPr>
        <w:spacing w:after="102"/>
        <w:ind w:left="-5"/>
      </w:pPr>
      <w:r>
        <w:rPr>
          <w:b/>
        </w:rPr>
        <w:t>ANN (</w:t>
      </w:r>
      <w:r>
        <w:rPr>
          <w:b/>
        </w:rPr>
        <w:t>10 neurons)</w:t>
      </w:r>
      <w:r>
        <w:t xml:space="preserve"> achieved 0.84 accuracy. Despite its capacity to learn nonlinear decision boundaries, the relatively small hidden layer and limited dataset size constrained its advantage over linear models. Deeper architectures or regularisation strategies may </w:t>
      </w:r>
      <w:r>
        <w:t>improve performance.</w:t>
      </w:r>
    </w:p>
    <w:p w:rsidR="00793A66" w:rsidRDefault="00BD347F">
      <w:pPr>
        <w:ind w:left="-5"/>
      </w:pPr>
      <w:r>
        <w:rPr>
          <w:b/>
        </w:rPr>
        <w:t>KNN (k=5)</w:t>
      </w:r>
      <w:r>
        <w:t xml:space="preserve"> recorded the lowest classification accuracy of 0.82. The instance-based approach is sensitive to the curse of dimensionality and noisy features, which likely degraded its performance on the higher-dimensional imputed feature </w:t>
      </w:r>
      <w:r>
        <w:t>set.</w:t>
      </w:r>
    </w:p>
    <w:p w:rsidR="00793A66" w:rsidRDefault="00BD347F">
      <w:pPr>
        <w:ind w:left="-5"/>
      </w:pPr>
      <w:r>
        <w:rPr>
          <w:b/>
        </w:rPr>
        <w:t>Decision Tree</w:t>
      </w:r>
      <w:r>
        <w:t xml:space="preserve"> achieved the best accuracy of 0.94. Its axis-aligned splits are well-suited to the discrete price threshold patterns inherent in trend labelling (CLOSE vs OPEN comparison). The lack of depth constraints allowed the tree to fully capture </w:t>
      </w:r>
      <w:r>
        <w:t>training patterns, though future work should investigate pruning to assess generalisation.</w:t>
      </w:r>
    </w:p>
    <w:p w:rsidR="00793A66" w:rsidRDefault="00BD347F">
      <w:pPr>
        <w:spacing w:after="105" w:line="259" w:lineRule="auto"/>
        <w:ind w:left="1896" w:firstLine="0"/>
        <w:jc w:val="left"/>
      </w:pPr>
      <w:r>
        <w:rPr>
          <w:noProof/>
        </w:rPr>
        <w:drawing>
          <wp:inline distT="0" distB="0" distL="0" distR="0">
            <wp:extent cx="3840480" cy="2112264"/>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0"/>
                    <a:stretch>
                      <a:fillRect/>
                    </a:stretch>
                  </pic:blipFill>
                  <pic:spPr>
                    <a:xfrm>
                      <a:off x="0" y="0"/>
                      <a:ext cx="3840480" cy="2112264"/>
                    </a:xfrm>
                    <a:prstGeom prst="rect">
                      <a:avLst/>
                    </a:prstGeom>
                  </pic:spPr>
                </pic:pic>
              </a:graphicData>
            </a:graphic>
          </wp:inline>
        </w:drawing>
      </w:r>
    </w:p>
    <w:p w:rsidR="00793A66" w:rsidRDefault="00BD347F">
      <w:pPr>
        <w:spacing w:after="0" w:line="264" w:lineRule="auto"/>
        <w:jc w:val="center"/>
      </w:pPr>
      <w:r>
        <w:rPr>
          <w:color w:val="90A4AE"/>
          <w:sz w:val="16"/>
        </w:rPr>
        <w:t>Fig. 3. Confusion matrix for the Decision Tree classifier (best performing model).</w:t>
      </w:r>
    </w:p>
    <w:p w:rsidR="00793A66" w:rsidRDefault="00BD347F">
      <w:pPr>
        <w:spacing w:after="105" w:line="259" w:lineRule="auto"/>
        <w:ind w:left="1644" w:firstLine="0"/>
        <w:jc w:val="left"/>
      </w:pPr>
      <w:r>
        <w:rPr>
          <w:noProof/>
        </w:rPr>
        <w:drawing>
          <wp:inline distT="0" distB="0" distL="0" distR="0">
            <wp:extent cx="4160520" cy="2288286"/>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1"/>
                    <a:stretch>
                      <a:fillRect/>
                    </a:stretch>
                  </pic:blipFill>
                  <pic:spPr>
                    <a:xfrm>
                      <a:off x="0" y="0"/>
                      <a:ext cx="4160520" cy="2288286"/>
                    </a:xfrm>
                    <a:prstGeom prst="rect">
                      <a:avLst/>
                    </a:prstGeom>
                  </pic:spPr>
                </pic:pic>
              </a:graphicData>
            </a:graphic>
          </wp:inline>
        </w:drawing>
      </w:r>
    </w:p>
    <w:p w:rsidR="00793A66" w:rsidRDefault="00BD347F">
      <w:pPr>
        <w:spacing w:after="168" w:line="264" w:lineRule="auto"/>
        <w:jc w:val="center"/>
      </w:pPr>
      <w:r>
        <w:rPr>
          <w:color w:val="90A4AE"/>
          <w:sz w:val="16"/>
        </w:rPr>
        <w:t>Fig. 5. Radar chart comparing Accuracy, Precision, Recall, and F1-Score across</w:t>
      </w:r>
      <w:r>
        <w:rPr>
          <w:color w:val="90A4AE"/>
          <w:sz w:val="16"/>
        </w:rPr>
        <w:t xml:space="preserve"> classification models.</w:t>
      </w:r>
    </w:p>
    <w:p w:rsidR="00793A66" w:rsidRDefault="00BD347F">
      <w:pPr>
        <w:pStyle w:val="Heading2"/>
        <w:ind w:left="-5"/>
      </w:pPr>
      <w:r>
        <w:t>C. Discussion</w:t>
      </w:r>
    </w:p>
    <w:p w:rsidR="00793A66" w:rsidRDefault="00BD347F">
      <w:pPr>
        <w:spacing w:after="102"/>
        <w:ind w:left="-5"/>
      </w:pPr>
      <w:r>
        <w:t>The convergence of Precision, Recall, and F1-Score for all models suggests well-calibrated classifiers with no systematic bias toward either class—an important property for practical deployment. The Decision Tree's sup</w:t>
      </w:r>
      <w:r>
        <w:t>eriority may be attributed to the binary nature of the target (TREND = CLOSE &gt; OPEN), which is itself a threshold function that trees can represent exactly with a single split on PRICE_CHANGE = 0.</w:t>
      </w:r>
    </w:p>
    <w:p w:rsidR="00793A66" w:rsidRDefault="00BD347F">
      <w:pPr>
        <w:spacing w:after="202"/>
        <w:ind w:left="-5"/>
      </w:pPr>
      <w:r>
        <w:lastRenderedPageBreak/>
        <w:t>The high performance of Logistic Regression (0.93) with min</w:t>
      </w:r>
      <w:r>
        <w:t>imal computational cost makes it a strong candidate for real-time trading systems where latency is critical. Neural approaches warrant further exploration with larger datasets and architectures (e.g., LSTM for temporal modelling), as the tabular feature re</w:t>
      </w:r>
      <w:r>
        <w:t>presentation used here may not fully leverage their representational capacity.</w:t>
      </w:r>
    </w:p>
    <w:p w:rsidR="00793A66" w:rsidRDefault="00BD347F">
      <w:pPr>
        <w:pStyle w:val="Heading1"/>
      </w:pPr>
      <w:r>
        <w:t>VI. CONCLUSION</w:t>
      </w:r>
    </w:p>
    <w:p w:rsidR="00793A66" w:rsidRDefault="00BD347F">
      <w:pPr>
        <w:spacing w:after="131" w:line="259" w:lineRule="auto"/>
        <w:ind w:left="0" w:firstLine="0"/>
        <w:jc w:val="left"/>
      </w:pPr>
      <w:r>
        <w:rPr>
          <w:rFonts w:ascii="Calibri" w:eastAsia="Calibri" w:hAnsi="Calibri" w:cs="Calibri"/>
          <w:noProof/>
          <w:sz w:val="22"/>
        </w:rPr>
        <mc:AlternateContent>
          <mc:Choice Requires="wpg">
            <w:drawing>
              <wp:inline distT="0" distB="0" distL="0" distR="0">
                <wp:extent cx="6248400" cy="3810"/>
                <wp:effectExtent l="0" t="0" r="0" b="0"/>
                <wp:docPr id="5026" name="Group 5026"/>
                <wp:cNvGraphicFramePr/>
                <a:graphic xmlns:a="http://schemas.openxmlformats.org/drawingml/2006/main">
                  <a:graphicData uri="http://schemas.microsoft.com/office/word/2010/wordprocessingGroup">
                    <wpg:wgp>
                      <wpg:cNvGrpSpPr/>
                      <wpg:grpSpPr>
                        <a:xfrm>
                          <a:off x="0" y="0"/>
                          <a:ext cx="6248400" cy="3810"/>
                          <a:chOff x="0" y="0"/>
                          <a:chExt cx="6248400" cy="3810"/>
                        </a:xfrm>
                      </wpg:grpSpPr>
                      <wps:wsp>
                        <wps:cNvPr id="292" name="Shape 292"/>
                        <wps:cNvSpPr/>
                        <wps:spPr>
                          <a:xfrm>
                            <a:off x="0" y="0"/>
                            <a:ext cx="6248400" cy="0"/>
                          </a:xfrm>
                          <a:custGeom>
                            <a:avLst/>
                            <a:gdLst/>
                            <a:ahLst/>
                            <a:cxnLst/>
                            <a:rect l="0" t="0" r="0" b="0"/>
                            <a:pathLst>
                              <a:path w="6248400">
                                <a:moveTo>
                                  <a:pt x="0" y="0"/>
                                </a:moveTo>
                                <a:lnTo>
                                  <a:pt x="6248400" y="0"/>
                                </a:lnTo>
                              </a:path>
                            </a:pathLst>
                          </a:custGeom>
                          <a:ln w="3810" cap="rnd">
                            <a:miter lim="127000"/>
                          </a:ln>
                        </wps:spPr>
                        <wps:style>
                          <a:lnRef idx="1">
                            <a:srgbClr val="1565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26" style="width:492pt;height:0.3pt;mso-position-horizontal-relative:char;mso-position-vertical-relative:line" coordsize="62484,38">
                <v:shape id="Shape 292" style="position:absolute;width:62484;height:0;left:0;top:0;" coordsize="6248400,0" path="m0,0l6248400,0">
                  <v:stroke weight="0.3pt" endcap="round" joinstyle="miter" miterlimit="10" on="true" color="#1565c0"/>
                  <v:fill on="false" color="#000000" opacity="0"/>
                </v:shape>
              </v:group>
            </w:pict>
          </mc:Fallback>
        </mc:AlternateContent>
      </w:r>
    </w:p>
    <w:p w:rsidR="00793A66" w:rsidRDefault="00BD347F">
      <w:pPr>
        <w:spacing w:after="157"/>
        <w:ind w:left="-5"/>
      </w:pPr>
      <w:r>
        <w:t>This paper conducted a systematic comparative study of five machine learning algorithms for binary stock market trend prediction on a 3,500-record daily trading</w:t>
      </w:r>
      <w:r>
        <w:t xml:space="preserve"> dataset. The Decision Tree classifier achieved the best accuracy of 0.94, followed by Logistic Regression (0.93), ANN (0.84), and KNN (0.82). Linear Regression delivered an essentially perfect R</w:t>
      </w:r>
      <w:r>
        <w:rPr>
          <w:vertAlign w:val="superscript"/>
        </w:rPr>
        <w:t>2</w:t>
      </w:r>
      <w:r>
        <w:t>=1.00 for close price regression from open price. All classi</w:t>
      </w:r>
      <w:r>
        <w:t>fication models exceeded the 80% accuracy target, validating the viability of classical ML for financial trend prediction.</w:t>
      </w:r>
    </w:p>
    <w:p w:rsidR="00793A66" w:rsidRDefault="00BD347F">
      <w:pPr>
        <w:ind w:left="-5"/>
      </w:pPr>
      <w:r>
        <w:t>Future work will explore ensemble methods (Random Forest, Gradient Boosting), deep learning architectures (LSTM, Transformer), and extended feature sets incorporating technical indicators (RSI, MACD, Bollinger Bands) and sentiment scores derived from finan</w:t>
      </w:r>
      <w:r>
        <w:t>cial news corpora. Cross-validation and hyperparameter optimisation via grid search will be employed for more robust model evaluation.</w:t>
      </w:r>
    </w:p>
    <w:p w:rsidR="00793A66" w:rsidRDefault="00BD347F">
      <w:pPr>
        <w:spacing w:after="251" w:line="259" w:lineRule="auto"/>
        <w:ind w:left="0" w:firstLine="0"/>
        <w:jc w:val="left"/>
      </w:pPr>
      <w:r>
        <w:rPr>
          <w:rFonts w:ascii="Calibri" w:eastAsia="Calibri" w:hAnsi="Calibri" w:cs="Calibri"/>
          <w:noProof/>
          <w:sz w:val="22"/>
        </w:rPr>
        <mc:AlternateContent>
          <mc:Choice Requires="wpg">
            <w:drawing>
              <wp:inline distT="0" distB="0" distL="0" distR="0">
                <wp:extent cx="6248400" cy="10160"/>
                <wp:effectExtent l="0" t="0" r="0" b="0"/>
                <wp:docPr id="5074" name="Group 5074"/>
                <wp:cNvGraphicFramePr/>
                <a:graphic xmlns:a="http://schemas.openxmlformats.org/drawingml/2006/main">
                  <a:graphicData uri="http://schemas.microsoft.com/office/word/2010/wordprocessingGroup">
                    <wpg:wgp>
                      <wpg:cNvGrpSpPr/>
                      <wpg:grpSpPr>
                        <a:xfrm>
                          <a:off x="0" y="0"/>
                          <a:ext cx="6248400" cy="10160"/>
                          <a:chOff x="0" y="0"/>
                          <a:chExt cx="6248400" cy="10160"/>
                        </a:xfrm>
                      </wpg:grpSpPr>
                      <wps:wsp>
                        <wps:cNvPr id="313" name="Shape 313"/>
                        <wps:cNvSpPr/>
                        <wps:spPr>
                          <a:xfrm>
                            <a:off x="0" y="0"/>
                            <a:ext cx="6248400" cy="0"/>
                          </a:xfrm>
                          <a:custGeom>
                            <a:avLst/>
                            <a:gdLst/>
                            <a:ahLst/>
                            <a:cxnLst/>
                            <a:rect l="0" t="0" r="0" b="0"/>
                            <a:pathLst>
                              <a:path w="6248400">
                                <a:moveTo>
                                  <a:pt x="0" y="0"/>
                                </a:moveTo>
                                <a:lnTo>
                                  <a:pt x="6248400" y="0"/>
                                </a:lnTo>
                              </a:path>
                            </a:pathLst>
                          </a:custGeom>
                          <a:ln w="10160" cap="rnd">
                            <a:miter lim="127000"/>
                          </a:ln>
                        </wps:spPr>
                        <wps:style>
                          <a:lnRef idx="1">
                            <a:srgbClr val="1565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74" style="width:492pt;height:0.8pt;mso-position-horizontal-relative:char;mso-position-vertical-relative:line" coordsize="62484,101">
                <v:shape id="Shape 313" style="position:absolute;width:62484;height:0;left:0;top:0;" coordsize="6248400,0" path="m0,0l6248400,0">
                  <v:stroke weight="0.8pt" endcap="round" joinstyle="miter" miterlimit="10" on="true" color="#1565c0"/>
                  <v:fill on="false" color="#000000" opacity="0"/>
                </v:shape>
              </v:group>
            </w:pict>
          </mc:Fallback>
        </mc:AlternateContent>
      </w:r>
    </w:p>
    <w:p w:rsidR="00793A66" w:rsidRDefault="00BD347F">
      <w:pPr>
        <w:pStyle w:val="Heading1"/>
      </w:pPr>
      <w:r>
        <w:t>REFERENCES</w:t>
      </w:r>
    </w:p>
    <w:p w:rsidR="00793A66" w:rsidRDefault="00BD347F">
      <w:pPr>
        <w:spacing w:after="125" w:line="259" w:lineRule="auto"/>
        <w:ind w:left="0" w:firstLine="0"/>
        <w:jc w:val="left"/>
      </w:pPr>
      <w:r>
        <w:rPr>
          <w:rFonts w:ascii="Calibri" w:eastAsia="Calibri" w:hAnsi="Calibri" w:cs="Calibri"/>
          <w:noProof/>
          <w:sz w:val="22"/>
        </w:rPr>
        <mc:AlternateContent>
          <mc:Choice Requires="wpg">
            <w:drawing>
              <wp:inline distT="0" distB="0" distL="0" distR="0">
                <wp:extent cx="6248400" cy="3810"/>
                <wp:effectExtent l="0" t="0" r="0" b="0"/>
                <wp:docPr id="5075" name="Group 5075"/>
                <wp:cNvGraphicFramePr/>
                <a:graphic xmlns:a="http://schemas.openxmlformats.org/drawingml/2006/main">
                  <a:graphicData uri="http://schemas.microsoft.com/office/word/2010/wordprocessingGroup">
                    <wpg:wgp>
                      <wpg:cNvGrpSpPr/>
                      <wpg:grpSpPr>
                        <a:xfrm>
                          <a:off x="0" y="0"/>
                          <a:ext cx="6248400" cy="3810"/>
                          <a:chOff x="0" y="0"/>
                          <a:chExt cx="6248400" cy="3810"/>
                        </a:xfrm>
                      </wpg:grpSpPr>
                      <wps:wsp>
                        <wps:cNvPr id="315" name="Shape 315"/>
                        <wps:cNvSpPr/>
                        <wps:spPr>
                          <a:xfrm>
                            <a:off x="0" y="0"/>
                            <a:ext cx="6248400" cy="0"/>
                          </a:xfrm>
                          <a:custGeom>
                            <a:avLst/>
                            <a:gdLst/>
                            <a:ahLst/>
                            <a:cxnLst/>
                            <a:rect l="0" t="0" r="0" b="0"/>
                            <a:pathLst>
                              <a:path w="6248400">
                                <a:moveTo>
                                  <a:pt x="0" y="0"/>
                                </a:moveTo>
                                <a:lnTo>
                                  <a:pt x="6248400" y="0"/>
                                </a:lnTo>
                              </a:path>
                            </a:pathLst>
                          </a:custGeom>
                          <a:ln w="3810" cap="rnd">
                            <a:miter lim="127000"/>
                          </a:ln>
                        </wps:spPr>
                        <wps:style>
                          <a:lnRef idx="1">
                            <a:srgbClr val="1565C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75" style="width:492pt;height:0.3pt;mso-position-horizontal-relative:char;mso-position-vertical-relative:line" coordsize="62484,38">
                <v:shape id="Shape 315" style="position:absolute;width:62484;height:0;left:0;top:0;" coordsize="6248400,0" path="m0,0l6248400,0">
                  <v:stroke weight="0.3pt" endcap="round" joinstyle="miter" miterlimit="10" on="true" color="#1565c0"/>
                  <v:fill on="false" color="#000000" opacity="0"/>
                </v:shape>
              </v:group>
            </w:pict>
          </mc:Fallback>
        </mc:AlternateContent>
      </w:r>
    </w:p>
    <w:p w:rsidR="00793A66" w:rsidRDefault="00BD347F">
      <w:pPr>
        <w:numPr>
          <w:ilvl w:val="0"/>
          <w:numId w:val="1"/>
        </w:numPr>
        <w:spacing w:after="80" w:line="259" w:lineRule="auto"/>
        <w:ind w:hanging="240"/>
        <w:jc w:val="left"/>
      </w:pPr>
      <w:r>
        <w:rPr>
          <w:sz w:val="16"/>
        </w:rPr>
        <w:t xml:space="preserve">E. F. </w:t>
      </w:r>
      <w:proofErr w:type="spellStart"/>
      <w:r>
        <w:rPr>
          <w:sz w:val="16"/>
        </w:rPr>
        <w:t>Fama</w:t>
      </w:r>
      <w:proofErr w:type="spellEnd"/>
      <w:r>
        <w:rPr>
          <w:sz w:val="16"/>
        </w:rPr>
        <w:t xml:space="preserve">, "Efficient capital markets: A review of theory and empirical work," </w:t>
      </w:r>
      <w:r>
        <w:rPr>
          <w:i/>
          <w:sz w:val="16"/>
        </w:rPr>
        <w:t>Journal of Finance</w:t>
      </w:r>
      <w:r>
        <w:rPr>
          <w:sz w:val="16"/>
        </w:rPr>
        <w:t>, vol. 25, no. 2, pp. 383-417, 1970.</w:t>
      </w:r>
    </w:p>
    <w:p w:rsidR="00793A66" w:rsidRDefault="00BD347F">
      <w:pPr>
        <w:numPr>
          <w:ilvl w:val="0"/>
          <w:numId w:val="1"/>
        </w:numPr>
        <w:spacing w:after="80" w:line="259" w:lineRule="auto"/>
        <w:ind w:hanging="240"/>
        <w:jc w:val="left"/>
      </w:pPr>
      <w:r>
        <w:rPr>
          <w:sz w:val="16"/>
        </w:rPr>
        <w:t xml:space="preserve">A. W. Lo and A. C. </w:t>
      </w:r>
      <w:proofErr w:type="spellStart"/>
      <w:r>
        <w:rPr>
          <w:sz w:val="16"/>
        </w:rPr>
        <w:t>MacKinlay</w:t>
      </w:r>
      <w:proofErr w:type="spellEnd"/>
      <w:r>
        <w:rPr>
          <w:sz w:val="16"/>
        </w:rPr>
        <w:t xml:space="preserve">, </w:t>
      </w:r>
      <w:r>
        <w:rPr>
          <w:i/>
          <w:sz w:val="16"/>
        </w:rPr>
        <w:t>A Non-Random Walk Down Wall Street</w:t>
      </w:r>
      <w:r>
        <w:rPr>
          <w:sz w:val="16"/>
        </w:rPr>
        <w:t>. Princeton, NJ: Princeton University Press, 1999.</w:t>
      </w:r>
    </w:p>
    <w:p w:rsidR="00793A66" w:rsidRDefault="00BD347F">
      <w:pPr>
        <w:numPr>
          <w:ilvl w:val="0"/>
          <w:numId w:val="1"/>
        </w:numPr>
        <w:spacing w:after="80" w:line="259" w:lineRule="auto"/>
        <w:ind w:hanging="240"/>
        <w:jc w:val="left"/>
      </w:pPr>
      <w:r>
        <w:rPr>
          <w:sz w:val="16"/>
        </w:rPr>
        <w:t xml:space="preserve">T. Hastie, R. </w:t>
      </w:r>
      <w:proofErr w:type="spellStart"/>
      <w:r>
        <w:rPr>
          <w:sz w:val="16"/>
        </w:rPr>
        <w:t>Tibshirani</w:t>
      </w:r>
      <w:proofErr w:type="spellEnd"/>
      <w:r>
        <w:rPr>
          <w:sz w:val="16"/>
        </w:rPr>
        <w:t xml:space="preserve">, and J. Friedman, </w:t>
      </w:r>
      <w:r>
        <w:rPr>
          <w:i/>
          <w:sz w:val="16"/>
        </w:rPr>
        <w:t>The Elements of Statistical Learning</w:t>
      </w:r>
      <w:r>
        <w:rPr>
          <w:sz w:val="16"/>
        </w:rPr>
        <w:t>, 2nd ed. New York: Sprin</w:t>
      </w:r>
      <w:r>
        <w:rPr>
          <w:sz w:val="16"/>
        </w:rPr>
        <w:t>ger, 2009.</w:t>
      </w:r>
    </w:p>
    <w:p w:rsidR="00793A66" w:rsidRDefault="00BD347F">
      <w:pPr>
        <w:numPr>
          <w:ilvl w:val="0"/>
          <w:numId w:val="1"/>
        </w:numPr>
        <w:spacing w:after="80" w:line="259" w:lineRule="auto"/>
        <w:ind w:hanging="240"/>
        <w:jc w:val="left"/>
      </w:pPr>
      <w:r>
        <w:rPr>
          <w:sz w:val="16"/>
        </w:rPr>
        <w:t xml:space="preserve">J. Patel, S. Shah, P. Thakkar, and K. Kotecha, "Predicting stock and stock price index movement using trend deterministic </w:t>
      </w:r>
      <w:proofErr w:type="spellStart"/>
      <w:r>
        <w:rPr>
          <w:sz w:val="16"/>
        </w:rPr>
        <w:t>datapreparation</w:t>
      </w:r>
      <w:proofErr w:type="spellEnd"/>
      <w:r>
        <w:rPr>
          <w:sz w:val="16"/>
        </w:rPr>
        <w:t xml:space="preserve"> and machine learning techniques," </w:t>
      </w:r>
      <w:r>
        <w:rPr>
          <w:i/>
          <w:sz w:val="16"/>
        </w:rPr>
        <w:t>Expert Systems with Applications</w:t>
      </w:r>
      <w:r>
        <w:rPr>
          <w:sz w:val="16"/>
        </w:rPr>
        <w:t>, vol. 42, no. 1, pp. 259-268, 2015.</w:t>
      </w:r>
    </w:p>
    <w:p w:rsidR="00793A66" w:rsidRDefault="00BD347F">
      <w:pPr>
        <w:numPr>
          <w:ilvl w:val="0"/>
          <w:numId w:val="1"/>
        </w:numPr>
        <w:spacing w:after="80" w:line="259" w:lineRule="auto"/>
        <w:ind w:hanging="240"/>
        <w:jc w:val="left"/>
      </w:pPr>
      <w:r>
        <w:rPr>
          <w:sz w:val="16"/>
        </w:rPr>
        <w:t>W. H</w:t>
      </w:r>
      <w:r>
        <w:rPr>
          <w:sz w:val="16"/>
        </w:rPr>
        <w:t xml:space="preserve">uang, Y. Nakamori, and S.-Y. Wang, "Forecasting stock market movement direction with support vector machine," </w:t>
      </w:r>
      <w:r>
        <w:rPr>
          <w:i/>
          <w:sz w:val="16"/>
        </w:rPr>
        <w:t>Computers &amp; Operations Research</w:t>
      </w:r>
      <w:r>
        <w:rPr>
          <w:sz w:val="16"/>
        </w:rPr>
        <w:t>, vol. 32, no. 10, pp. 2513-2522, 2005.</w:t>
      </w:r>
    </w:p>
    <w:p w:rsidR="00793A66" w:rsidRDefault="00BD347F">
      <w:pPr>
        <w:numPr>
          <w:ilvl w:val="0"/>
          <w:numId w:val="1"/>
        </w:numPr>
        <w:spacing w:after="80" w:line="259" w:lineRule="auto"/>
        <w:ind w:hanging="240"/>
        <w:jc w:val="left"/>
      </w:pPr>
      <w:r>
        <w:rPr>
          <w:sz w:val="16"/>
        </w:rPr>
        <w:t xml:space="preserve">S. </w:t>
      </w:r>
      <w:proofErr w:type="spellStart"/>
      <w:r>
        <w:rPr>
          <w:sz w:val="16"/>
        </w:rPr>
        <w:t>Hochreiter</w:t>
      </w:r>
      <w:proofErr w:type="spellEnd"/>
      <w:r>
        <w:rPr>
          <w:sz w:val="16"/>
        </w:rPr>
        <w:t xml:space="preserve"> and J. </w:t>
      </w:r>
      <w:proofErr w:type="spellStart"/>
      <w:r>
        <w:rPr>
          <w:sz w:val="16"/>
        </w:rPr>
        <w:t>Schmidhuber</w:t>
      </w:r>
      <w:proofErr w:type="spellEnd"/>
      <w:r>
        <w:rPr>
          <w:sz w:val="16"/>
        </w:rPr>
        <w:t xml:space="preserve">, "Long short-term memory," </w:t>
      </w:r>
      <w:r>
        <w:rPr>
          <w:i/>
          <w:sz w:val="16"/>
        </w:rPr>
        <w:t>Neural Computat</w:t>
      </w:r>
      <w:r>
        <w:rPr>
          <w:i/>
          <w:sz w:val="16"/>
        </w:rPr>
        <w:t>ion</w:t>
      </w:r>
      <w:r>
        <w:rPr>
          <w:sz w:val="16"/>
        </w:rPr>
        <w:t>, vol. 9, no. 8, pp. 1735-1780, 1997.</w:t>
      </w:r>
    </w:p>
    <w:p w:rsidR="00793A66" w:rsidRDefault="00BD347F">
      <w:pPr>
        <w:numPr>
          <w:ilvl w:val="0"/>
          <w:numId w:val="1"/>
        </w:numPr>
        <w:spacing w:after="80" w:line="259" w:lineRule="auto"/>
        <w:ind w:hanging="240"/>
        <w:jc w:val="left"/>
      </w:pPr>
      <w:r>
        <w:rPr>
          <w:sz w:val="16"/>
        </w:rPr>
        <w:t xml:space="preserve">F. </w:t>
      </w:r>
      <w:proofErr w:type="spellStart"/>
      <w:r>
        <w:rPr>
          <w:sz w:val="16"/>
        </w:rPr>
        <w:t>Pedregosa</w:t>
      </w:r>
      <w:proofErr w:type="spellEnd"/>
      <w:r>
        <w:rPr>
          <w:sz w:val="16"/>
        </w:rPr>
        <w:t xml:space="preserve"> et al., "</w:t>
      </w:r>
      <w:proofErr w:type="spellStart"/>
      <w:r>
        <w:rPr>
          <w:sz w:val="16"/>
        </w:rPr>
        <w:t>Scikit</w:t>
      </w:r>
      <w:proofErr w:type="spellEnd"/>
      <w:r>
        <w:rPr>
          <w:sz w:val="16"/>
        </w:rPr>
        <w:t xml:space="preserve">-learn: Machine learning in Python," </w:t>
      </w:r>
      <w:r>
        <w:rPr>
          <w:i/>
          <w:sz w:val="16"/>
        </w:rPr>
        <w:t>Journal of Machine Learning Research</w:t>
      </w:r>
      <w:r>
        <w:rPr>
          <w:sz w:val="16"/>
        </w:rPr>
        <w:t>, vol. 12, pp. 2825-2830, 2011.</w:t>
      </w:r>
    </w:p>
    <w:p w:rsidR="00793A66" w:rsidRDefault="00BD347F">
      <w:pPr>
        <w:numPr>
          <w:ilvl w:val="0"/>
          <w:numId w:val="1"/>
        </w:numPr>
        <w:spacing w:after="80" w:line="259" w:lineRule="auto"/>
        <w:ind w:hanging="240"/>
        <w:jc w:val="left"/>
      </w:pPr>
      <w:r>
        <w:rPr>
          <w:sz w:val="16"/>
        </w:rPr>
        <w:t xml:space="preserve">G. E. Box, G. M. Jenkins, and G. C. </w:t>
      </w:r>
      <w:proofErr w:type="spellStart"/>
      <w:r>
        <w:rPr>
          <w:sz w:val="16"/>
        </w:rPr>
        <w:t>Reinsel</w:t>
      </w:r>
      <w:proofErr w:type="spellEnd"/>
      <w:r>
        <w:rPr>
          <w:sz w:val="16"/>
        </w:rPr>
        <w:t xml:space="preserve">, </w:t>
      </w:r>
      <w:r>
        <w:rPr>
          <w:i/>
          <w:sz w:val="16"/>
        </w:rPr>
        <w:t>Time Series Analysis: Forecasting and</w:t>
      </w:r>
      <w:r>
        <w:rPr>
          <w:i/>
          <w:sz w:val="16"/>
        </w:rPr>
        <w:t xml:space="preserve"> Control</w:t>
      </w:r>
      <w:r>
        <w:rPr>
          <w:sz w:val="16"/>
        </w:rPr>
        <w:t>, 4th ed. Hoboken, NJ: Wiley, 2008.</w:t>
      </w:r>
    </w:p>
    <w:sectPr w:rsidR="00793A66">
      <w:headerReference w:type="even" r:id="rId12"/>
      <w:headerReference w:type="default" r:id="rId13"/>
      <w:footerReference w:type="even" r:id="rId14"/>
      <w:footerReference w:type="default" r:id="rId15"/>
      <w:headerReference w:type="first" r:id="rId16"/>
      <w:footerReference w:type="first" r:id="rId17"/>
      <w:pgSz w:w="12240" w:h="15840"/>
      <w:pgMar w:top="1416" w:right="1200" w:bottom="1483" w:left="1200" w:header="619" w:footer="5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347F" w:rsidRDefault="00BD347F">
      <w:pPr>
        <w:spacing w:after="0" w:line="240" w:lineRule="auto"/>
      </w:pPr>
      <w:r>
        <w:separator/>
      </w:r>
    </w:p>
  </w:endnote>
  <w:endnote w:type="continuationSeparator" w:id="0">
    <w:p w:rsidR="00BD347F" w:rsidRDefault="00BD3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3A66" w:rsidRDefault="00BD347F">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685800</wp:posOffset>
              </wp:positionH>
              <wp:positionV relativeFrom="page">
                <wp:posOffset>9541764</wp:posOffset>
              </wp:positionV>
              <wp:extent cx="6400800" cy="13716"/>
              <wp:effectExtent l="0" t="0" r="0" b="0"/>
              <wp:wrapSquare wrapText="bothSides"/>
              <wp:docPr id="6167" name="Group 6167"/>
              <wp:cNvGraphicFramePr/>
              <a:graphic xmlns:a="http://schemas.openxmlformats.org/drawingml/2006/main">
                <a:graphicData uri="http://schemas.microsoft.com/office/word/2010/wordprocessingGroup">
                  <wpg:wgp>
                    <wpg:cNvGrpSpPr/>
                    <wpg:grpSpPr>
                      <a:xfrm>
                        <a:off x="0" y="0"/>
                        <a:ext cx="6400800" cy="13716"/>
                        <a:chOff x="0" y="0"/>
                        <a:chExt cx="6400800" cy="13716"/>
                      </a:xfrm>
                    </wpg:grpSpPr>
                    <wps:wsp>
                      <wps:cNvPr id="6498" name="Shape 6498"/>
                      <wps:cNvSpPr/>
                      <wps:spPr>
                        <a:xfrm>
                          <a:off x="0" y="0"/>
                          <a:ext cx="6400800" cy="13716"/>
                        </a:xfrm>
                        <a:custGeom>
                          <a:avLst/>
                          <a:gdLst/>
                          <a:ahLst/>
                          <a:cxnLst/>
                          <a:rect l="0" t="0" r="0" b="0"/>
                          <a:pathLst>
                            <a:path w="6400800" h="13716">
                              <a:moveTo>
                                <a:pt x="0" y="0"/>
                              </a:moveTo>
                              <a:lnTo>
                                <a:pt x="6400800" y="0"/>
                              </a:lnTo>
                              <a:lnTo>
                                <a:pt x="6400800" y="13716"/>
                              </a:lnTo>
                              <a:lnTo>
                                <a:pt x="0" y="13716"/>
                              </a:lnTo>
                              <a:lnTo>
                                <a:pt x="0" y="0"/>
                              </a:lnTo>
                            </a:path>
                          </a:pathLst>
                        </a:custGeom>
                        <a:ln w="0" cap="flat">
                          <a:miter lim="127000"/>
                        </a:ln>
                      </wps:spPr>
                      <wps:style>
                        <a:lnRef idx="0">
                          <a:srgbClr val="000000">
                            <a:alpha val="0"/>
                          </a:srgbClr>
                        </a:lnRef>
                        <a:fillRef idx="1">
                          <a:srgbClr val="0A3A6B"/>
                        </a:fillRef>
                        <a:effectRef idx="0">
                          <a:scrgbClr r="0" g="0" b="0"/>
                        </a:effectRef>
                        <a:fontRef idx="none"/>
                      </wps:style>
                      <wps:bodyPr/>
                    </wps:wsp>
                  </wpg:wgp>
                </a:graphicData>
              </a:graphic>
            </wp:anchor>
          </w:drawing>
        </mc:Choice>
        <mc:Fallback xmlns:a="http://schemas.openxmlformats.org/drawingml/2006/main">
          <w:pict>
            <v:group id="Group 6167" style="width:504pt;height:1.08002pt;position:absolute;mso-position-horizontal-relative:page;mso-position-horizontal:absolute;margin-left:54pt;mso-position-vertical-relative:page;margin-top:751.32pt;" coordsize="64008,137">
              <v:shape id="Shape 6499" style="position:absolute;width:64008;height:137;left:0;top:0;" coordsize="6400800,13716" path="m0,0l6400800,0l6400800,13716l0,13716l0,0">
                <v:stroke weight="0pt" endcap="flat" joinstyle="miter" miterlimit="10" on="false" color="#000000" opacity="0"/>
                <v:fill on="true" color="#0a3a6b"/>
              </v:shape>
              <w10:wrap type="square"/>
            </v:group>
          </w:pict>
        </mc:Fallback>
      </mc:AlternateContent>
    </w:r>
    <w:r>
      <w:rPr>
        <w:color w:val="90A4AE"/>
        <w:sz w:val="14"/>
      </w:rPr>
      <w:t xml:space="preserve">Page </w:t>
    </w:r>
    <w:r>
      <w:fldChar w:fldCharType="begin"/>
    </w:r>
    <w:r>
      <w:instrText xml:space="preserve"> PAGE   \* MERGEFORMAT </w:instrText>
    </w:r>
    <w:r>
      <w:fldChar w:fldCharType="separate"/>
    </w:r>
    <w:r>
      <w:rPr>
        <w:color w:val="90A4AE"/>
        <w:sz w:val="14"/>
      </w:rPr>
      <w:t>1</w:t>
    </w:r>
    <w:r>
      <w:rPr>
        <w:color w:val="90A4AE"/>
        <w:sz w:val="14"/>
      </w:rPr>
      <w:fldChar w:fldCharType="end"/>
    </w:r>
    <w:r>
      <w:rPr>
        <w:color w:val="90A4AE"/>
        <w:sz w:val="14"/>
      </w:rPr>
      <w:t xml:space="preserve">  |  Manuscript submitted to IEEE Transactions on Neural Networks and Learning Systems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3A66" w:rsidRDefault="00BD347F">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9541764</wp:posOffset>
              </wp:positionV>
              <wp:extent cx="6400800" cy="13716"/>
              <wp:effectExtent l="0" t="0" r="0" b="0"/>
              <wp:wrapSquare wrapText="bothSides"/>
              <wp:docPr id="6143" name="Group 6143"/>
              <wp:cNvGraphicFramePr/>
              <a:graphic xmlns:a="http://schemas.openxmlformats.org/drawingml/2006/main">
                <a:graphicData uri="http://schemas.microsoft.com/office/word/2010/wordprocessingGroup">
                  <wpg:wgp>
                    <wpg:cNvGrpSpPr/>
                    <wpg:grpSpPr>
                      <a:xfrm>
                        <a:off x="0" y="0"/>
                        <a:ext cx="6400800" cy="13716"/>
                        <a:chOff x="0" y="0"/>
                        <a:chExt cx="6400800" cy="13716"/>
                      </a:xfrm>
                    </wpg:grpSpPr>
                    <wps:wsp>
                      <wps:cNvPr id="6496" name="Shape 6496"/>
                      <wps:cNvSpPr/>
                      <wps:spPr>
                        <a:xfrm>
                          <a:off x="0" y="0"/>
                          <a:ext cx="6400800" cy="13716"/>
                        </a:xfrm>
                        <a:custGeom>
                          <a:avLst/>
                          <a:gdLst/>
                          <a:ahLst/>
                          <a:cxnLst/>
                          <a:rect l="0" t="0" r="0" b="0"/>
                          <a:pathLst>
                            <a:path w="6400800" h="13716">
                              <a:moveTo>
                                <a:pt x="0" y="0"/>
                              </a:moveTo>
                              <a:lnTo>
                                <a:pt x="6400800" y="0"/>
                              </a:lnTo>
                              <a:lnTo>
                                <a:pt x="6400800" y="13716"/>
                              </a:lnTo>
                              <a:lnTo>
                                <a:pt x="0" y="13716"/>
                              </a:lnTo>
                              <a:lnTo>
                                <a:pt x="0" y="0"/>
                              </a:lnTo>
                            </a:path>
                          </a:pathLst>
                        </a:custGeom>
                        <a:ln w="0" cap="flat">
                          <a:miter lim="127000"/>
                        </a:ln>
                      </wps:spPr>
                      <wps:style>
                        <a:lnRef idx="0">
                          <a:srgbClr val="000000">
                            <a:alpha val="0"/>
                          </a:srgbClr>
                        </a:lnRef>
                        <a:fillRef idx="1">
                          <a:srgbClr val="0A3A6B"/>
                        </a:fillRef>
                        <a:effectRef idx="0">
                          <a:scrgbClr r="0" g="0" b="0"/>
                        </a:effectRef>
                        <a:fontRef idx="none"/>
                      </wps:style>
                      <wps:bodyPr/>
                    </wps:wsp>
                  </wpg:wgp>
                </a:graphicData>
              </a:graphic>
            </wp:anchor>
          </w:drawing>
        </mc:Choice>
        <mc:Fallback xmlns:a="http://schemas.openxmlformats.org/drawingml/2006/main">
          <w:pict>
            <v:group id="Group 6143" style="width:504pt;height:1.08002pt;position:absolute;mso-position-horizontal-relative:page;mso-position-horizontal:absolute;margin-left:54pt;mso-position-vertical-relative:page;margin-top:751.32pt;" coordsize="64008,137">
              <v:shape id="Shape 6497" style="position:absolute;width:64008;height:137;left:0;top:0;" coordsize="6400800,13716" path="m0,0l6400800,0l6400800,13716l0,13716l0,0">
                <v:stroke weight="0pt" endcap="flat" joinstyle="miter" miterlimit="10" on="false" color="#000000" opacity="0"/>
                <v:fill on="true" color="#0a3a6b"/>
              </v:shape>
              <w10:wrap type="square"/>
            </v:group>
          </w:pict>
        </mc:Fallback>
      </mc:AlternateContent>
    </w:r>
    <w:r>
      <w:rPr>
        <w:color w:val="90A4AE"/>
        <w:sz w:val="14"/>
      </w:rPr>
      <w:t xml:space="preserve">Page </w:t>
    </w:r>
    <w:r>
      <w:fldChar w:fldCharType="begin"/>
    </w:r>
    <w:r>
      <w:instrText xml:space="preserve"> PAGE   \* MERGEFORMAT </w:instrText>
    </w:r>
    <w:r>
      <w:fldChar w:fldCharType="separate"/>
    </w:r>
    <w:r>
      <w:rPr>
        <w:color w:val="90A4AE"/>
        <w:sz w:val="14"/>
      </w:rPr>
      <w:t>1</w:t>
    </w:r>
    <w:r>
      <w:rPr>
        <w:color w:val="90A4AE"/>
        <w:sz w:val="14"/>
      </w:rPr>
      <w:fldChar w:fldCharType="end"/>
    </w:r>
    <w:r>
      <w:rPr>
        <w:color w:val="90A4AE"/>
        <w:sz w:val="14"/>
      </w:rPr>
      <w:t xml:space="preserve">  |  Manuscript submitted to IEEE T</w:t>
    </w:r>
    <w:r>
      <w:rPr>
        <w:color w:val="90A4AE"/>
        <w:sz w:val="14"/>
      </w:rPr>
      <w:t>ransactions on Neural Networks and Learning Systems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3A66" w:rsidRDefault="00BD347F">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685800</wp:posOffset>
              </wp:positionH>
              <wp:positionV relativeFrom="page">
                <wp:posOffset>9541764</wp:posOffset>
              </wp:positionV>
              <wp:extent cx="6400800" cy="13716"/>
              <wp:effectExtent l="0" t="0" r="0" b="0"/>
              <wp:wrapSquare wrapText="bothSides"/>
              <wp:docPr id="6119" name="Group 6119"/>
              <wp:cNvGraphicFramePr/>
              <a:graphic xmlns:a="http://schemas.openxmlformats.org/drawingml/2006/main">
                <a:graphicData uri="http://schemas.microsoft.com/office/word/2010/wordprocessingGroup">
                  <wpg:wgp>
                    <wpg:cNvGrpSpPr/>
                    <wpg:grpSpPr>
                      <a:xfrm>
                        <a:off x="0" y="0"/>
                        <a:ext cx="6400800" cy="13716"/>
                        <a:chOff x="0" y="0"/>
                        <a:chExt cx="6400800" cy="13716"/>
                      </a:xfrm>
                    </wpg:grpSpPr>
                    <wps:wsp>
                      <wps:cNvPr id="6494" name="Shape 6494"/>
                      <wps:cNvSpPr/>
                      <wps:spPr>
                        <a:xfrm>
                          <a:off x="0" y="0"/>
                          <a:ext cx="6400800" cy="13716"/>
                        </a:xfrm>
                        <a:custGeom>
                          <a:avLst/>
                          <a:gdLst/>
                          <a:ahLst/>
                          <a:cxnLst/>
                          <a:rect l="0" t="0" r="0" b="0"/>
                          <a:pathLst>
                            <a:path w="6400800" h="13716">
                              <a:moveTo>
                                <a:pt x="0" y="0"/>
                              </a:moveTo>
                              <a:lnTo>
                                <a:pt x="6400800" y="0"/>
                              </a:lnTo>
                              <a:lnTo>
                                <a:pt x="6400800" y="13716"/>
                              </a:lnTo>
                              <a:lnTo>
                                <a:pt x="0" y="13716"/>
                              </a:lnTo>
                              <a:lnTo>
                                <a:pt x="0" y="0"/>
                              </a:lnTo>
                            </a:path>
                          </a:pathLst>
                        </a:custGeom>
                        <a:ln w="0" cap="flat">
                          <a:miter lim="127000"/>
                        </a:ln>
                      </wps:spPr>
                      <wps:style>
                        <a:lnRef idx="0">
                          <a:srgbClr val="000000">
                            <a:alpha val="0"/>
                          </a:srgbClr>
                        </a:lnRef>
                        <a:fillRef idx="1">
                          <a:srgbClr val="0A3A6B"/>
                        </a:fillRef>
                        <a:effectRef idx="0">
                          <a:scrgbClr r="0" g="0" b="0"/>
                        </a:effectRef>
                        <a:fontRef idx="none"/>
                      </wps:style>
                      <wps:bodyPr/>
                    </wps:wsp>
                  </wpg:wgp>
                </a:graphicData>
              </a:graphic>
            </wp:anchor>
          </w:drawing>
        </mc:Choice>
        <mc:Fallback xmlns:a="http://schemas.openxmlformats.org/drawingml/2006/main">
          <w:pict>
            <v:group id="Group 6119" style="width:504pt;height:1.08002pt;position:absolute;mso-position-horizontal-relative:page;mso-position-horizontal:absolute;margin-left:54pt;mso-position-vertical-relative:page;margin-top:751.32pt;" coordsize="64008,137">
              <v:shape id="Shape 6495" style="position:absolute;width:64008;height:137;left:0;top:0;" coordsize="6400800,13716" path="m0,0l6400800,0l6400800,13716l0,13716l0,0">
                <v:stroke weight="0pt" endcap="flat" joinstyle="miter" miterlimit="10" on="false" color="#000000" opacity="0"/>
                <v:fill on="true" color="#0a3a6b"/>
              </v:shape>
              <w10:wrap type="square"/>
            </v:group>
          </w:pict>
        </mc:Fallback>
      </mc:AlternateContent>
    </w:r>
    <w:r>
      <w:rPr>
        <w:color w:val="90A4AE"/>
        <w:sz w:val="14"/>
      </w:rPr>
      <w:t xml:space="preserve">Page </w:t>
    </w:r>
    <w:r>
      <w:fldChar w:fldCharType="begin"/>
    </w:r>
    <w:r>
      <w:instrText xml:space="preserve"> PAGE   \* MERGEFORMAT </w:instrText>
    </w:r>
    <w:r>
      <w:fldChar w:fldCharType="separate"/>
    </w:r>
    <w:r>
      <w:rPr>
        <w:color w:val="90A4AE"/>
        <w:sz w:val="14"/>
      </w:rPr>
      <w:t>1</w:t>
    </w:r>
    <w:r>
      <w:rPr>
        <w:color w:val="90A4AE"/>
        <w:sz w:val="14"/>
      </w:rPr>
      <w:fldChar w:fldCharType="end"/>
    </w:r>
    <w:r>
      <w:rPr>
        <w:color w:val="90A4AE"/>
        <w:sz w:val="14"/>
      </w:rPr>
      <w:t xml:space="preserve">  |  Manuscript submitted to IEEE Transactions on Neural Networks and Learning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347F" w:rsidRDefault="00BD347F">
      <w:pPr>
        <w:spacing w:after="0" w:line="240" w:lineRule="auto"/>
      </w:pPr>
      <w:r>
        <w:separator/>
      </w:r>
    </w:p>
  </w:footnote>
  <w:footnote w:type="continuationSeparator" w:id="0">
    <w:p w:rsidR="00BD347F" w:rsidRDefault="00BD3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080" w:tblpY="619"/>
      <w:tblOverlap w:val="never"/>
      <w:tblW w:w="10080" w:type="dxa"/>
      <w:tblInd w:w="0" w:type="dxa"/>
      <w:tblCellMar>
        <w:top w:w="113" w:type="dxa"/>
        <w:left w:w="80" w:type="dxa"/>
        <w:bottom w:w="0" w:type="dxa"/>
        <w:right w:w="80" w:type="dxa"/>
      </w:tblCellMar>
      <w:tblLook w:val="04A0" w:firstRow="1" w:lastRow="0" w:firstColumn="1" w:lastColumn="0" w:noHBand="0" w:noVBand="1"/>
    </w:tblPr>
    <w:tblGrid>
      <w:gridCol w:w="10080"/>
    </w:tblGrid>
    <w:tr w:rsidR="00793A66">
      <w:trPr>
        <w:trHeight w:val="317"/>
      </w:trPr>
      <w:tc>
        <w:tcPr>
          <w:tcW w:w="10080" w:type="dxa"/>
          <w:tcBorders>
            <w:top w:val="nil"/>
            <w:left w:val="nil"/>
            <w:bottom w:val="nil"/>
            <w:right w:val="nil"/>
          </w:tcBorders>
          <w:shd w:val="clear" w:color="auto" w:fill="0A3A6B"/>
        </w:tcPr>
        <w:p w:rsidR="00793A66" w:rsidRDefault="00BD347F">
          <w:pPr>
            <w:tabs>
              <w:tab w:val="right" w:pos="9920"/>
            </w:tabs>
            <w:spacing w:after="0" w:line="259" w:lineRule="auto"/>
            <w:ind w:left="0" w:firstLine="0"/>
            <w:jc w:val="left"/>
          </w:pPr>
          <w:r>
            <w:rPr>
              <w:b/>
              <w:color w:val="FFFFFF"/>
              <w:sz w:val="14"/>
            </w:rPr>
            <w:t>IEEE-Style Research Paper | Stock Market Prediction Using ML</w:t>
          </w:r>
          <w:r>
            <w:rPr>
              <w:b/>
              <w:color w:val="FFFFFF"/>
              <w:sz w:val="14"/>
            </w:rPr>
            <w:tab/>
          </w:r>
          <w:r>
            <w:rPr>
              <w:color w:val="FFFFFF"/>
              <w:sz w:val="14"/>
            </w:rPr>
            <w:t>2026</w:t>
          </w:r>
        </w:p>
      </w:tc>
    </w:tr>
  </w:tbl>
  <w:p w:rsidR="00793A66" w:rsidRDefault="00793A66">
    <w:pPr>
      <w:spacing w:after="0" w:line="259" w:lineRule="auto"/>
      <w:ind w:left="-1200" w:right="1104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080" w:tblpY="619"/>
      <w:tblOverlap w:val="never"/>
      <w:tblW w:w="10080" w:type="dxa"/>
      <w:tblInd w:w="0" w:type="dxa"/>
      <w:tblCellMar>
        <w:top w:w="113" w:type="dxa"/>
        <w:left w:w="80" w:type="dxa"/>
        <w:bottom w:w="0" w:type="dxa"/>
        <w:right w:w="80" w:type="dxa"/>
      </w:tblCellMar>
      <w:tblLook w:val="04A0" w:firstRow="1" w:lastRow="0" w:firstColumn="1" w:lastColumn="0" w:noHBand="0" w:noVBand="1"/>
    </w:tblPr>
    <w:tblGrid>
      <w:gridCol w:w="10080"/>
    </w:tblGrid>
    <w:tr w:rsidR="00793A66">
      <w:trPr>
        <w:trHeight w:val="317"/>
      </w:trPr>
      <w:tc>
        <w:tcPr>
          <w:tcW w:w="10080" w:type="dxa"/>
          <w:tcBorders>
            <w:top w:val="nil"/>
            <w:left w:val="nil"/>
            <w:bottom w:val="nil"/>
            <w:right w:val="nil"/>
          </w:tcBorders>
          <w:shd w:val="clear" w:color="auto" w:fill="0A3A6B"/>
        </w:tcPr>
        <w:p w:rsidR="00793A66" w:rsidRDefault="00BD347F">
          <w:pPr>
            <w:tabs>
              <w:tab w:val="right" w:pos="9920"/>
            </w:tabs>
            <w:spacing w:after="0" w:line="259" w:lineRule="auto"/>
            <w:ind w:left="0" w:firstLine="0"/>
            <w:jc w:val="left"/>
          </w:pPr>
          <w:r>
            <w:rPr>
              <w:b/>
              <w:color w:val="FFFFFF"/>
              <w:sz w:val="14"/>
            </w:rPr>
            <w:t>IEEE-Style Research Paper | Stock Market Prediction Using ML</w:t>
          </w:r>
          <w:r>
            <w:rPr>
              <w:b/>
              <w:color w:val="FFFFFF"/>
              <w:sz w:val="14"/>
            </w:rPr>
            <w:tab/>
          </w:r>
          <w:r>
            <w:rPr>
              <w:color w:val="FFFFFF"/>
              <w:sz w:val="14"/>
            </w:rPr>
            <w:t>2026</w:t>
          </w:r>
        </w:p>
      </w:tc>
    </w:tr>
  </w:tbl>
  <w:p w:rsidR="00793A66" w:rsidRDefault="00793A66">
    <w:pPr>
      <w:spacing w:after="0" w:line="259" w:lineRule="auto"/>
      <w:ind w:left="-1200" w:right="1104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080" w:tblpY="619"/>
      <w:tblOverlap w:val="never"/>
      <w:tblW w:w="10080" w:type="dxa"/>
      <w:tblInd w:w="0" w:type="dxa"/>
      <w:tblCellMar>
        <w:top w:w="113" w:type="dxa"/>
        <w:left w:w="80" w:type="dxa"/>
        <w:bottom w:w="0" w:type="dxa"/>
        <w:right w:w="80" w:type="dxa"/>
      </w:tblCellMar>
      <w:tblLook w:val="04A0" w:firstRow="1" w:lastRow="0" w:firstColumn="1" w:lastColumn="0" w:noHBand="0" w:noVBand="1"/>
    </w:tblPr>
    <w:tblGrid>
      <w:gridCol w:w="10080"/>
    </w:tblGrid>
    <w:tr w:rsidR="00793A66">
      <w:trPr>
        <w:trHeight w:val="317"/>
      </w:trPr>
      <w:tc>
        <w:tcPr>
          <w:tcW w:w="10080" w:type="dxa"/>
          <w:tcBorders>
            <w:top w:val="nil"/>
            <w:left w:val="nil"/>
            <w:bottom w:val="nil"/>
            <w:right w:val="nil"/>
          </w:tcBorders>
          <w:shd w:val="clear" w:color="auto" w:fill="0A3A6B"/>
        </w:tcPr>
        <w:p w:rsidR="00793A66" w:rsidRDefault="00BD347F">
          <w:pPr>
            <w:tabs>
              <w:tab w:val="right" w:pos="9920"/>
            </w:tabs>
            <w:spacing w:after="0" w:line="259" w:lineRule="auto"/>
            <w:ind w:left="0" w:firstLine="0"/>
            <w:jc w:val="left"/>
          </w:pPr>
          <w:r>
            <w:rPr>
              <w:b/>
              <w:color w:val="FFFFFF"/>
              <w:sz w:val="14"/>
            </w:rPr>
            <w:t>IEEE-Style Research Paper | Stock Market Prediction Using ML</w:t>
          </w:r>
          <w:r>
            <w:rPr>
              <w:b/>
              <w:color w:val="FFFFFF"/>
              <w:sz w:val="14"/>
            </w:rPr>
            <w:tab/>
          </w:r>
          <w:r>
            <w:rPr>
              <w:color w:val="FFFFFF"/>
              <w:sz w:val="14"/>
            </w:rPr>
            <w:t>2026</w:t>
          </w:r>
        </w:p>
      </w:tc>
    </w:tr>
  </w:tbl>
  <w:p w:rsidR="00793A66" w:rsidRDefault="00793A66">
    <w:pPr>
      <w:spacing w:after="0" w:line="259" w:lineRule="auto"/>
      <w:ind w:left="-1200" w:right="1104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7242C6"/>
    <w:multiLevelType w:val="hybridMultilevel"/>
    <w:tmpl w:val="EF648008"/>
    <w:lvl w:ilvl="0" w:tplc="16262D16">
      <w:start w:val="1"/>
      <w:numFmt w:val="decimal"/>
      <w:lvlText w:val="[%1]"/>
      <w:lvlJc w:val="left"/>
      <w:pPr>
        <w:ind w:left="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19C0E0C">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78CB130">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1CEECDC">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71EAF04">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CDA7C0A">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E1A00FA">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E004E80">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E062AC2">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A66"/>
    <w:rsid w:val="00412FB5"/>
    <w:rsid w:val="00793A66"/>
    <w:rsid w:val="00BD3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1480"/>
  <w15:docId w15:val="{C61BB43A-7246-46F5-8254-83E3E1A74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98" w:lineRule="auto"/>
      <w:ind w:left="10" w:hanging="10"/>
      <w:jc w:val="both"/>
    </w:pPr>
    <w:rPr>
      <w:rFonts w:ascii="Arial" w:eastAsia="Arial" w:hAnsi="Arial" w:cs="Arial"/>
      <w:color w:val="000000"/>
      <w:sz w:val="18"/>
    </w:rPr>
  </w:style>
  <w:style w:type="paragraph" w:styleId="Heading1">
    <w:name w:val="heading 1"/>
    <w:next w:val="Normal"/>
    <w:link w:val="Heading1Char"/>
    <w:uiPriority w:val="9"/>
    <w:qFormat/>
    <w:pPr>
      <w:keepNext/>
      <w:keepLines/>
      <w:spacing w:after="0"/>
      <w:ind w:left="10" w:hanging="10"/>
      <w:jc w:val="center"/>
      <w:outlineLvl w:val="0"/>
    </w:pPr>
    <w:rPr>
      <w:rFonts w:ascii="Arial" w:eastAsia="Arial" w:hAnsi="Arial" w:cs="Arial"/>
      <w:b/>
      <w:color w:val="0A3A6B"/>
      <w:sz w:val="18"/>
    </w:rPr>
  </w:style>
  <w:style w:type="paragraph" w:styleId="Heading2">
    <w:name w:val="heading 2"/>
    <w:next w:val="Normal"/>
    <w:link w:val="Heading2Char"/>
    <w:uiPriority w:val="9"/>
    <w:unhideWhenUsed/>
    <w:qFormat/>
    <w:pPr>
      <w:keepNext/>
      <w:keepLines/>
      <w:spacing w:after="79"/>
      <w:ind w:left="10" w:hanging="10"/>
      <w:outlineLvl w:val="1"/>
    </w:pPr>
    <w:rPr>
      <w:rFonts w:ascii="Arial" w:eastAsia="Arial" w:hAnsi="Arial" w:cs="Arial"/>
      <w:b/>
      <w:i/>
      <w:color w:val="0A3A6B"/>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i/>
      <w:color w:val="0A3A6B"/>
      <w:sz w:val="17"/>
    </w:rPr>
  </w:style>
  <w:style w:type="character" w:customStyle="1" w:styleId="Heading1Char">
    <w:name w:val="Heading 1 Char"/>
    <w:link w:val="Heading1"/>
    <w:rPr>
      <w:rFonts w:ascii="Arial" w:eastAsia="Arial" w:hAnsi="Arial" w:cs="Arial"/>
      <w:b/>
      <w:color w:val="0A3A6B"/>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1972</Words>
  <Characters>11246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Machine Learning Models in Stock Market Prediction</vt:lpstr>
    </vt:vector>
  </TitlesOfParts>
  <Company/>
  <LinksUpToDate>false</LinksUpToDate>
  <CharactersWithSpaces>13192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Models in Stock Market Prediction</dc:title>
  <dc:subject>(unspecified)</dc:subject>
  <dc:creator>Research Paper</dc:creator>
  <cp:keywords/>
  <cp:lastModifiedBy>shirisha ks</cp:lastModifiedBy>
  <cp:revision>2</cp:revision>
  <dcterms:created xsi:type="dcterms:W3CDTF">2026-05-04T09:31:00Z</dcterms:created>
  <dcterms:modified xsi:type="dcterms:W3CDTF">2026-05-04T09:31:00Z</dcterms:modified>
</cp:coreProperties>
</file>