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P05-baseline.mp4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Now I need to ask. Right? Yeah. (16) </w:t>
      </w:r>
    </w:p>
    <w:p>
      <w:pPr>
        <w:spacing w:line="360" w:before="320" w:lineRule="auto" w:after="320"/>
        <w:ind w:left="0"/>
        <w:jc w:val="left"/>
      </w:pPr>
      <w:r>
        <w:rPr>
          <w:rFonts w:cs="Arial" w:hAnsi="Arial" w:ascii="Arial" w:eastAsia="Arial"/>
          <w:b/>
          <w:bCs/>
          <w:sz w:val="20"/>
          <w:szCs w:val="20"/>
          <w:color w:val="#000000"/>
          <w:lang w:val="en-US" w:eastAsia="en-US" w:bidi="ar-SA"/>
        </w:rPr>
        <w:t xml:space="preserve">S2:</w:t>
      </w:r>
      <w:r>
        <w:rPr>
          <w:rFonts w:cs="Arial" w:hAnsi="Arial" w:ascii="Arial" w:eastAsia="Arial"/>
          <w:sz w:val="20"/>
          <w:szCs w:val="20"/>
          <w:color w:val="#000000"/>
          <w:lang w:val="en-US" w:eastAsia="en-US" w:bidi="ar-SA"/>
        </w:rPr>
        <w:t xml:space="preserve"> Okay. So, I work in international law, so I do quite a lot of work with law, especially with international law sources. And what I do believe that, I can trust AI a bit more in an international context than I can in a, in a national context. I still believe that AI cannot capture everything that law needs. For example, there are so many, so many words that are explained in, in courts or they need, you need kind of a human emotion in order to, in order to, completely understand, certain questions or more likely, I would say, kind of, talk about questions or give like a good legal answer. So I do trust, I do trust AI as like a starting point, but I do still believe that, a lawyer needs to, further work in order to completely to, in order to get the right answer or to at least check if it was the right answer.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