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Task 2: Automated Attack-Point Testing</w:t>
      </w:r>
    </w:p>
    <w:p>
      <w:pPr>
        <w:pStyle w:val="Heading2"/>
        <w:spacing w:after="300"/>
      </w:pPr>
      <w:r>
        <w:t xml:space="preserve">Test Results &amp; Evidence Report</w:t>
      </w:r>
    </w:p>
    <w:p>
      <w:pPr>
        <w:spacing w:after="150"/>
      </w:pPr>
      <w:r>
        <w:t xml:space="preserve">Target: http://localhost:3000 (OWASP Juice Shop, local authorized instance)</w:t>
      </w:r>
    </w:p>
    <w:p>
      <w:pPr>
        <w:spacing w:after="150"/>
      </w:pPr>
      <w:r>
        <w:t xml:space="preserve">Tool: juice_shop_security_tester.py v2</w:t>
      </w:r>
    </w:p>
    <w:p>
      <w:pPr>
        <w:spacing w:after="150"/>
      </w:pPr>
      <w:r>
        <w:t xml:space="preserve">Scan timestamp: 2026-10-17T00:22:45Z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/>
      </w:pPr>
      <w:r>
        <w:t xml:space="preserve">Three attack points, each representing a distinct vulnerability class, were tested against an authorized local OWASP Juice Shop instance using a purpose-built automated tool, with results independently confirmed by manual reproduction and screenshot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Attack Point 1 - Authentication: </w:t>
      </w:r>
      <w:r>
        <w:t xml:space="preserve">SQL injection login bypass (confirmed with negative-control verification)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Attack Point 2 - API Input Trust: </w:t>
      </w:r>
      <w:r>
        <w:t xml:space="preserve">Mass assignment privilege escalation via /api/Users/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Attack Point 3 - Authorization &amp; Token Integrity: </w:t>
      </w:r>
      <w:r>
        <w:t xml:space="preserve">IDOR on basket objects, merged with JWT alg:none signature-bypass testing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The automated run produced 9 findings: 6 critical, 1 high, 2 medium. Two of the critical findings are cross-module correlation findings, generated only because the tool tracks state across modules - they describe compounded risk (e.g. an anonymous attacker needing neither a real account nor correct object ownership) that no single module's result shows on its own.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400"/>
        <w:gridCol w:w="1200"/>
      </w:tblGrid>
      <w:t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Point</w:t>
            </w:r>
          </w:p>
        </w:tc>
        <w:tc>
          <w:tcPr>
            <w:tcW w:type="dxa" w:w="42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(SQLi)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injection authentication bypass (x2 payloads, negative-control confirmed)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(SQLi)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Unhandled server error on SQLi-shaped input ('#' payload, HTTP 500)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(SQLi)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login rate limiting (10/10 attempts, no latency increase)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Privilege escalation via 'role' field on /api/Users/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Authz: IDOR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Basket ownership not enforced (10/10 adjacent IDs, 100% exposure)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Authz: JWT integrity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alg:none bypass accepted with fabricated identity (basket endpoint)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IDOR + unsigned-token acceptance compound to anonymous full access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Synthesized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 assignment + unsigned-token acceptance: privilege model broken 2 ways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Synthesized</w:t>
            </w:r>
          </w:p>
        </w:tc>
      </w:tr>
    </w:tbl>
    <w:p>
      <w:pPr>
        <w:pStyle w:val="Heading1"/>
        <w:spacing w:after="200" w:before="400"/>
      </w:pPr>
      <w:r>
        <w:t xml:space="preserve">2. Attack Point 1 - Authentication: SQL Injection Login Bypass</w:t>
      </w:r>
    </w:p>
    <w:p>
      <w:pPr>
        <w:pStyle w:val="Heading2"/>
        <w:spacing w:after="150" w:before="300"/>
      </w:pPr>
      <w:r>
        <w:t xml:space="preserve">Methodology</w:t>
      </w:r>
    </w:p>
    <w:p>
      <w:pPr>
        <w:spacing w:after="150"/>
      </w:pPr>
      <w:r>
        <w:t xml:space="preserve">Five SQL-injection tautology payloads were submitted as the login 'email' field, each paired with a structurally-matched negative control engineered to evaluate false. A bypass is only confirmed if the positive payload authenticates (HTTP 200 + token) AND its negative control is still rejected - ruling out a generically broken endpoint as an alternative explanation. A 10-attempt timed burst then tested for rate limiting.</w:t>
      </w:r>
    </w:p>
    <w:p>
      <w:pPr>
        <w:pStyle w:val="Heading2"/>
        <w:spacing w:after="150" w:before="300"/>
      </w:pPr>
      <w:r>
        <w:t xml:space="preserve">Automated Results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400"/>
        <w:gridCol w:w="1400"/>
        <w:gridCol w:w="1600"/>
      </w:tblGrid>
      <w:tr>
        <w:tc>
          <w:tcPr>
            <w:tcW w:type="dxa" w:w="3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Positive payload</w:t>
            </w:r>
          </w:p>
        </w:tc>
        <w:tc>
          <w:tcPr>
            <w:tcW w:type="dxa" w:w="3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 control</w:t>
            </w:r>
          </w:p>
        </w:tc>
        <w:tc>
          <w:tcPr>
            <w:tcW w:type="dxa" w:w="1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Pos. status</w:t>
            </w:r>
          </w:p>
        </w:tc>
        <w:tc>
          <w:tcPr>
            <w:tcW w:type="dxa" w:w="1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Neg. status</w:t>
            </w:r>
          </w:p>
        </w:tc>
        <w:tc>
          <w:tcPr>
            <w:tcW w:type="dxa" w:w="1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OR 1=1--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AND 1=2--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OR '1'='1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AND '1'='2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admin'--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nonexistent_admin_zzz'--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OR 1=1#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 AND 1=2#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(flagged)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x' OR 'a'='a' LIMIT 1--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x' AND 'a'='b' LIMIT 1--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Manual Evidence</w:t>
      </w:r>
    </w:p>
    <w:p>
      <w:pPr>
        <w:spacing w:after="150"/>
      </w:pPr>
      <w:r>
        <w:t xml:space="preserve">The same bypass was reproduced manually via curl to obtain independent confirmation outside the tool:</w:t>
      </w:r>
    </w:p>
    <w:p>
      <w:pPr>
        <w:spacing w:after="50" w:before="150"/>
        <w:jc w:val="center"/>
      </w:pPr>
      <w:r>
        <w:drawing>
          <wp:inline distT="0" distB="0" distL="0" distR="0">
            <wp:extent cx="53340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curl reproduction of the ' OR 1=1-- login bypass, returning a valid authentication token with no real password.</w:t>
      </w:r>
    </w:p>
    <w:p>
      <w:pPr>
        <w:spacing w:after="150"/>
      </w:pPr>
      <w:r>
        <w:t xml:space="preserve">The returned JWT was decoded (header + payload) to confirm the token genuinely authenticates as the real administrator account, not a coincidental token:</w:t>
      </w:r>
    </w:p>
    <w:p>
      <w:pPr>
        <w:spacing w:after="50" w:before="150"/>
        <w:jc w:val="center"/>
      </w:pPr>
      <w:r>
        <w:drawing>
          <wp:inline distT="0" distB="0" distL="0" distR="0">
            <wp:extent cx="5334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2: Decoded JWT showing id: 1, email: admin@juice-sh.op, role: admin - proof the SQLi payload authenticated as the actual admin account.</w:t>
      </w:r>
    </w:p>
    <w:p>
      <w:pPr>
        <w:pStyle w:val="Heading2"/>
        <w:spacing w:after="150" w:before="300"/>
      </w:pPr>
      <w:r>
        <w:t xml:space="preserve">Analysis</w:t>
      </w:r>
    </w:p>
    <w:p>
      <w:pPr>
        <w:spacing w:after="150"/>
      </w:pPr>
      <w:r>
        <w:t xml:space="preserve">The login endpoint's query is not parameterized: a crafted email value is sufficient to bypass password verification entirely and obtain a fully-privileged admin session. The HTTP 500 produced by one payload variant ('#' comment style) additionally suggests unhandled exceptions during query construction, and merits server-log review beyond what black-box testing alone can show.</w:t>
      </w:r>
    </w:p>
    <w:p>
      <w:pPr>
        <w:pStyle w:val="Heading1"/>
        <w:spacing w:after="200" w:before="400"/>
      </w:pPr>
      <w:r>
        <w:t xml:space="preserve">3. Attack Point 2 - API Input Trust: Mass Assignment</w:t>
      </w:r>
    </w:p>
    <w:p>
      <w:pPr>
        <w:pStyle w:val="Heading2"/>
        <w:spacing w:after="150" w:before="300"/>
      </w:pPr>
      <w:r>
        <w:t xml:space="preserve">Methodology</w:t>
      </w:r>
    </w:p>
    <w:p>
      <w:pPr>
        <w:spacing w:after="150"/>
      </w:pPr>
      <w:r>
        <w:t xml:space="preserve">A baseline account was registered using only UI-exposed fields. Separate test accounts were then registered with one additional, non-UI field each (role, isAdmin, admin, permissions). Verification reads the resulting role from the JWT's data.role claim issued at login - not from /rest/user/whoami, which was found during testing to omit the role field entirely and would otherwise produce a false negative.</w:t>
      </w:r>
    </w:p>
    <w:p>
      <w:pPr>
        <w:pStyle w:val="Heading2"/>
        <w:spacing w:after="150" w:before="300"/>
      </w:pPr>
      <w:r>
        <w:t xml:space="preserve">Automated Result</w:t>
      </w:r>
    </w:p>
    <w:p>
      <w:pPr>
        <w:spacing w:after="150"/>
      </w:pPr>
      <w:r>
        <w:t xml:space="preserve">Field tested: {"role": "admin"}  |  Baseline role: customer  |  Resulting role: admin  |  Severity: Critical</w:t>
      </w:r>
    </w:p>
    <w:p>
      <w:pPr>
        <w:spacing w:after="150"/>
      </w:pPr>
      <w:r>
        <w:t xml:space="preserve">Registration response: HTTP 201, with the created user object already echoing role: admin.</w:t>
      </w:r>
    </w:p>
    <w:p>
      <w:pPr>
        <w:pStyle w:val="Heading2"/>
        <w:spacing w:after="150" w:before="300"/>
      </w:pPr>
      <w:r>
        <w:t xml:space="preserve">Manual Evidence</w:t>
      </w:r>
    </w:p>
    <w:p>
      <w:pPr>
        <w:spacing w:after="150"/>
      </w:pPr>
      <w:r>
        <w:t xml:space="preserve">The registration request was intercepted and the unexposed 'role' field added manually, independent of the tool:</w:t>
      </w:r>
    </w:p>
    <w:p>
      <w:pPr>
        <w:spacing w:after="50" w:before="15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Intercepted POST /api/Users/ request body with "role": "admin" appended to an otherwise normal registration.</w:t>
      </w:r>
    </w:p>
    <w:p>
      <w:pPr>
        <w:spacing w:after="150"/>
      </w:pPr>
      <w:r>
        <w:t xml:space="preserve">The server's response confirms the field was accepted and persisted to the new account:</w:t>
      </w:r>
    </w:p>
    <w:p>
      <w:pPr>
        <w:spacing w:after="50" w:before="15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Registration response (HTTP 201) showing the created account's role as "admin" (user id 43).</w:t>
      </w:r>
    </w:p>
    <w:p>
      <w:pPr>
        <w:spacing w:after="150"/>
      </w:pPr>
      <w:r>
        <w:t xml:space="preserve">Logging in as this account and navigating directly to the admin panel confirms real, functional impact - not just a stored field:</w:t>
      </w:r>
    </w:p>
    <w:p>
      <w:pPr>
        <w:spacing w:after="50" w:before="15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5: The administration panel loading successfully for an account that was never granted admin rights through any legitimate path - registered purely via the mass-assignment payload.</w:t>
      </w:r>
    </w:p>
    <w:p>
      <w:pPr>
        <w:pStyle w:val="Heading2"/>
        <w:spacing w:after="150" w:before="300"/>
      </w:pPr>
      <w:r>
        <w:t xml:space="preserve">Analysis</w:t>
      </w:r>
    </w:p>
    <w:p>
      <w:pPr>
        <w:spacing w:after="150"/>
      </w:pPr>
      <w:r>
        <w:t xml:space="preserve">The registration endpoint binds client-supplied JSON fields directly to the stored user model without a field whitelist (classic Mass Assignment / Broken Object Property Level Authorization). This is a distinct root cause from the SQLi finding above - it is an API design flaw, not a sanitization failure - and was independently reproduced both through the automated tool and by hand.</w:t>
      </w:r>
    </w:p>
    <w:p>
      <w:pPr>
        <w:pStyle w:val="Heading1"/>
        <w:spacing w:after="200" w:before="400"/>
      </w:pPr>
      <w:r>
        <w:t xml:space="preserve">4. Attack Point 3 - Authorization &amp; Token Integrity (IDOR + JWT)</w:t>
      </w:r>
    </w:p>
    <w:p>
      <w:pPr>
        <w:pStyle w:val="Heading2"/>
        <w:spacing w:after="150" w:before="300"/>
      </w:pPr>
      <w:r>
        <w:t xml:space="preserve">Methodology - Phase 1 (IDOR)</w:t>
      </w:r>
    </w:p>
    <w:p>
      <w:pPr>
        <w:spacing w:after="150"/>
      </w:pPr>
      <w:r>
        <w:t xml:space="preserve">Using a legitimately-issued token, the 10 basket IDs adjacent to the test account's own basket ID were requested. Results are reported as a single aggregated finding with a computed exposure rate, with severity scaling to that rate, rather than one finding per accessible ID.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basket ID (test account)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/ center point of sweep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Adjacent IDs checked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 (8-12, 14-18)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range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IDs accessible (HTTP 200)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/ 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exposure rate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Severity (computed)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&gt;= 80% threshold</w:t>
            </w:r>
          </w:p>
        </w:tc>
      </w:tr>
    </w:tbl>
    <w:p>
      <w:pPr>
        <w:pStyle w:val="Heading2"/>
        <w:spacing w:after="150" w:before="300"/>
      </w:pPr>
      <w:r>
        <w:t xml:space="preserve">Methodology - Phase 2 (JWT signature integrity)</w:t>
      </w:r>
    </w:p>
    <w:p>
      <w:pPr>
        <w:spacing w:after="150"/>
      </w:pPr>
      <w:r>
        <w:t xml:space="preserve">The Phase 1 token was decoded and a new 'alg:none' token was forged - no signature - carrying a fabricated identity (id: 999999, a never-registered email, role: admin) substituted into the payload. This forged token was replayed against two endpoints: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tested with forged token</w:t>
            </w:r>
          </w:p>
        </w:tc>
        <w:tc>
          <w:tcPr>
            <w:tcW w:type="dxa" w:w="25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5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Accepted?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/rest/user/whoami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(identity not reflected)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/rest/basket/{id}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 basket data returned</w:t>
            </w:r>
          </w:p>
        </w:tc>
      </w:tr>
    </w:tbl>
    <w:p>
      <w:pPr>
        <w:pStyle w:val="Heading2"/>
        <w:spacing w:after="150" w:before="300"/>
      </w:pPr>
      <w:r>
        <w:t xml:space="preserve">Analysis</w:t>
      </w:r>
    </w:p>
    <w:p>
      <w:pPr>
        <w:spacing w:after="150"/>
      </w:pPr>
      <w:r>
        <w:t xml:space="preserve">Phase 1 confirms basket objects have no ownership check: any authenticated user can read any other user's basket. Phase 2 is a materially worse finding - the basket endpoint accepted a token with no signature at all, carrying an identity that was never registered on the instance. Combined, this means the basket-exposure problem does not even require a real account: an anonymous attacker who has never interacted with the application can construct a working token from scratch.</w:t>
      </w:r>
    </w:p>
    <w:p>
      <w:pPr>
        <w:spacing w:after="150"/>
      </w:pPr>
      <w:r>
        <w:t xml:space="preserve">This evidence is automated-tool-only for Phase 2 in this submission - the finding is drawn from report.json (forged_token_preview, whoami_status/accepted, basket_status/accepted fields); a manual jwt.io-based reproduction can be added if required.</w:t>
      </w:r>
    </w:p>
    <w:p>
      <w:pPr>
        <w:pStyle w:val="Heading1"/>
        <w:spacing w:after="200" w:before="400"/>
      </w:pPr>
      <w:r>
        <w:t xml:space="preserve">5. Cross-Module Correlation</w:t>
      </w:r>
    </w:p>
    <w:p>
      <w:pPr>
        <w:spacing w:after="150"/>
      </w:pPr>
      <w:r>
        <w:t xml:space="preserve">After all three modules complete, the tool checks for compounding conditions across their results: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IDOR + JWT forgery: </w:t>
      </w:r>
      <w:r>
        <w:t xml:space="preserve">Basket objects are unprotected (100% exposure) AND the server accepts forged, unsigned tokens - together these mean an attacker needs neither a legitimate account nor correct object ownership to read arbitrary basket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Mass assignment + JWT forgery: </w:t>
      </w:r>
      <w:r>
        <w:t xml:space="preserve">The registration endpoint accepts a client-supplied admin role AND the server accepts forged tokens - the privilege model is broken through two independent paths, not just one.</w:t>
      </w:r>
    </w:p>
    <w:p>
      <w:pPr>
        <w:spacing w:after="150"/>
      </w:pPr>
      <w:r>
        <w:t xml:space="preserve">These synthesis findings exist only because the tool tracks state across all three modules in a single run, rather than reporting three disconnected scans.</w:t>
      </w:r>
    </w:p>
    <w:p>
      <w:pPr>
        <w:pStyle w:val="Heading1"/>
        <w:spacing w:after="200" w:before="400"/>
      </w:pPr>
      <w:r>
        <w:t xml:space="preserve">6.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Payload/field coverage is a small, representative set rather than exhaustive fuzzing.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detection bug was found and fixed during development: /rest/user/whoami does not expose a role field, so the Mass Assignment module originally produced a false negative until verification was switched to reading the JWT's data.role claim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testing covers alg:none specifically; a separate stripped-signature-on-original-algorithm test was not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IDOR testing is limited to the basket endpoint and a narrow ID range around one test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HTTP 500 on one SQLi payload was flagged but not root-caused (would require server-side log access).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tool runs sequentially with a fixed per-request delay; no concurrency.</w:t>
      </w:r>
    </w:p>
    <w:p>
      <w:pPr>
        <w:pStyle w:val="Heading1"/>
        <w:spacing w:after="200" w:before="400"/>
      </w:pPr>
      <w:r>
        <w:t xml:space="preserve">7. Possible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payload/field libraries with a quick vs. thorough mode.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stripped-signature (not just alg:none) JWT variant to separate two distinct integrity failures.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Broaden IDOR coverage to order history and profile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bounded concurrency to reduce total scan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 run history to support regression testing across Juice Shop versions.</w:t>
      </w:r>
    </w:p>
    <w:p>
      <w:pPr>
        <w:pStyle w:val="Heading1"/>
        <w:spacing w:after="200" w:before="400"/>
      </w:pPr>
      <w:r>
        <w:t xml:space="preserve">8. References</w:t>
      </w:r>
    </w:p>
    <w:p>
      <w:pPr>
        <w:spacing w:after="150"/>
      </w:pPr>
      <w:r>
        <w:t xml:space="preserve">Full machine-readable results: report.json (generated by juice_shop_security_tester.py)</w:t>
      </w:r>
    </w:p>
    <w:p>
      <w:pPr>
        <w:spacing w:after="150"/>
      </w:pPr>
      <w:r>
        <w:t xml:space="preserve">Source code: juice_shop_security_tester.py</w:t>
      </w:r>
    </w:p>
    <w:p>
      <w:pPr>
        <w:spacing w:after="150"/>
      </w:pPr>
      <w:r>
        <w:t xml:space="preserve">Setup/usage: README.md</w:t>
      </w:r>
    </w:p>
    <w:p>
      <w:pPr>
        <w:spacing w:after="150"/>
      </w:pPr>
      <w:r>
        <w:t xml:space="preserve">Detailed per-attack-point methodology: METHODOLOGY.md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f41cebaee26181bf4ac036b9d1aef97ac3d2ed.png"/><Relationship Id="rId8" Type="http://schemas.openxmlformats.org/officeDocument/2006/relationships/image" Target="media/eae8ec09366ab437671c9bdf8f26b0b8485cc555.png"/><Relationship Id="rId9" Type="http://schemas.openxmlformats.org/officeDocument/2006/relationships/image" Target="media/9b0429d94c3f6a9c133a5dbef801f3706c47336f.png"/><Relationship Id="rId10" Type="http://schemas.openxmlformats.org/officeDocument/2006/relationships/image" Target="media/581f8ab9b6b1674d7b0e505b81a977f26a79fbbf.png"/><Relationship Id="rId11" Type="http://schemas.openxmlformats.org/officeDocument/2006/relationships/image" Target="media/02fc3f2b21d8445540ddd0f87fea4f66c530aac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2026-10-17T01:01:43.317Z</dcterms:created>
  <dcterms:modified xsi:type="dcterms:W3CDTF">2026-10-17T01:01:43.323Z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