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620B" w14:textId="4CDD586B"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4E57E9">
      <w:hyperlink r:id="rId4" w:history="1">
        <w:r>
          <w:rPr>
            <w:rStyle w:val="Hyperlink"/>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bookmarkStart w:id="0" w:name="_GoBack"/>
      <w:bookmarkEnd w:id="0"/>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5913F8F8" w14:textId="33F7908D" w:rsidR="003727DE" w:rsidRDefault="003727DE">
      <w:r>
        <w:t>Winter, S. (2002). Transgender Asia. Retrieved June 21, 2004 from http://web.hku.hk/~sjwinter/TransgenderAsia/index.htm</w:t>
      </w:r>
    </w:p>
    <w:sectPr w:rsidR="0037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rAUAwU21kCwAAAA="/>
  </w:docVars>
  <w:rsids>
    <w:rsidRoot w:val="00D450F8"/>
    <w:rsid w:val="002E5DAF"/>
    <w:rsid w:val="003727DE"/>
    <w:rsid w:val="004E57E9"/>
    <w:rsid w:val="005B646F"/>
    <w:rsid w:val="008E6D7E"/>
    <w:rsid w:val="00D4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5</cp:revision>
  <dcterms:created xsi:type="dcterms:W3CDTF">2019-10-31T06:35:00Z</dcterms:created>
  <dcterms:modified xsi:type="dcterms:W3CDTF">2019-10-31T08:07:00Z</dcterms:modified>
</cp:coreProperties>
</file>