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6B69A5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过去一年，大模型技术持续飞跃。ChatGPT能答题、DeepSeek能推理、Claude会记忆、Gemini支持多模态。无数企业跃跃欲试，把“上AI”写进战略规划，启动知识库构建、语义问答平台、办公助手项目。</w:t>
      </w:r>
    </w:p>
    <w:p w14:paraId="199023A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但一个尴尬的现实是：大模型在C端爆红，在B端落地却远未形成闭环。大模型知道“该怎么做”，但并不能“去做”。例如，它们能生成“报销流程说明”，却无法完成“自动填单+流程审批+单据核验+数据入账”的全流程闭环。</w:t>
      </w:r>
    </w:p>
    <w:p w14:paraId="3A8110C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这正是“AI Agent”被关注的背景：它不再是一种实验性尝试，而正在成为企业构建“能干活的AI”的主流路径。</w:t>
      </w:r>
    </w:p>
    <w:p w14:paraId="08B455C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就在最近，艺赛旗召开了以“AI无界·智动未来”为主题的企业级智能体春季发布会。这家在流程自动化领域深耕多年的公司，首次系统发布了包括自动化魔术师、AI Center平台、旗旗助手2.0在内的一整套“企业智能体”产品体系。艺赛旗是怎么想的，又是怎么做的，对于推动AI Agent的发展有什么启发？接下来，我们试图回答这些问题。</w:t>
      </w:r>
    </w:p>
    <w:p w14:paraId="76EDCF3B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 w:line="24" w:lineRule="atLeast"/>
        <w:ind w:left="0" w:right="0" w:firstLine="0"/>
        <w:jc w:val="both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AI Agent的本质</w:t>
      </w:r>
    </w:p>
    <w:p w14:paraId="0689EA3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 w:line="24" w:lineRule="atLeast"/>
        <w:ind w:left="0" w:right="0" w:firstLine="0"/>
        <w:jc w:val="both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是任务流里的“智能执行体”</w:t>
      </w:r>
    </w:p>
    <w:p w14:paraId="2D06ED9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人工智能发展至今，最显著的演进是它不仅“更懂人”，还能“开始干活”了。AI Agent的出现，代表了一种新物种的诞生：它不再只是语言模型，也不只是自动化工具，而是连接理解力、决策力与行动力的数字执行单元。这类“智能体”的目标是完成任务，而不只是生成答案。</w:t>
      </w:r>
    </w:p>
    <w:p w14:paraId="54885DA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从能力结构看，AI Agent是三类技术的“中间态整合”：</w:t>
      </w:r>
    </w:p>
    <w:tbl>
      <w:tblPr>
        <w:tblW w:w="6900" w:type="dxa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5"/>
        <w:gridCol w:w="1529"/>
        <w:gridCol w:w="2323"/>
        <w:gridCol w:w="2133"/>
      </w:tblGrid>
      <w:tr w14:paraId="7C6ED4E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915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vAlign w:val="center"/>
          </w:tcPr>
          <w:p w14:paraId="60D8132F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270" w:beforeAutospacing="0" w:after="270" w:afterAutospacing="0"/>
              <w:ind w:left="0" w:right="0" w:firstLine="0"/>
              <w:jc w:val="both"/>
              <w:rPr>
                <w:rStyle w:val="6"/>
                <w:rFonts w:hint="eastAsia" w:asciiTheme="minorEastAsia" w:hAnsiTheme="minorEastAsia" w:eastAsiaTheme="minorEastAsia" w:cstheme="minorEastAsia"/>
                <w:b w:val="0"/>
                <w:color w:val="000000"/>
                <w:sz w:val="21"/>
                <w:szCs w:val="21"/>
                <w:woUserID w:val="0"/>
              </w:rPr>
            </w:pPr>
            <w:r>
              <w:rPr>
                <w:rStyle w:val="8"/>
                <w:rFonts w:hint="eastAsia" w:asciiTheme="minorEastAsia" w:hAnsiTheme="minorEastAsia" w:eastAsiaTheme="minorEastAsia" w:cstheme="minorEastAsia"/>
                <w:b w:val="0"/>
                <w:color w:val="000000"/>
                <w:sz w:val="21"/>
                <w:szCs w:val="21"/>
                <w:bdr w:val="none" w:color="auto" w:sz="0" w:space="0"/>
                <w:lang w:val="en-US" w:eastAsia="zh-CN" w:bidi="ar"/>
              </w:rPr>
              <w:t>角色</w:t>
            </w:r>
          </w:p>
        </w:tc>
        <w:tc>
          <w:tcPr>
            <w:tcW w:w="153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6AAC862B"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Style w:val="9"/>
                <w:rFonts w:hint="eastAsia" w:asciiTheme="minorEastAsia" w:hAnsiTheme="minorEastAsia" w:eastAsiaTheme="minorEastAsia" w:cstheme="minorEastAsia"/>
                <w:b w:val="0"/>
                <w:sz w:val="21"/>
                <w:szCs w:val="21"/>
                <w:bdr w:val="none" w:color="auto" w:sz="0" w:space="0"/>
                <w:lang w:val="en-US" w:eastAsia="zh-CN" w:bidi="ar"/>
              </w:rPr>
              <w:t>主要能力</w:t>
            </w:r>
          </w:p>
        </w:tc>
        <w:tc>
          <w:tcPr>
            <w:tcW w:w="232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1FEF43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Style w:val="10"/>
                <w:rFonts w:hint="eastAsia" w:asciiTheme="minorEastAsia" w:hAnsiTheme="minorEastAsia" w:eastAsiaTheme="minorEastAsia" w:cstheme="minorEastAsia"/>
                <w:b w:val="0"/>
                <w:color w:val="000000"/>
                <w:sz w:val="21"/>
                <w:szCs w:val="21"/>
                <w:bdr w:val="none" w:color="auto" w:sz="0" w:space="0"/>
                <w:lang w:val="en-US" w:eastAsia="zh-CN" w:bidi="ar"/>
              </w:rPr>
              <w:t>典型代表</w:t>
            </w:r>
          </w:p>
        </w:tc>
        <w:tc>
          <w:tcPr>
            <w:tcW w:w="2135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FFFFFF"/>
            <w:vAlign w:val="center"/>
          </w:tcPr>
          <w:p w14:paraId="6943721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Style w:val="11"/>
                <w:rFonts w:hint="eastAsia" w:asciiTheme="minorEastAsia" w:hAnsiTheme="minorEastAsia" w:eastAsiaTheme="minorEastAsia" w:cstheme="minorEastAsia"/>
                <w:b w:val="0"/>
                <w:color w:val="000000"/>
                <w:sz w:val="21"/>
                <w:szCs w:val="21"/>
                <w:bdr w:val="none" w:color="auto" w:sz="0" w:space="0"/>
                <w:lang w:val="en-US" w:eastAsia="zh-CN" w:bidi="ar"/>
              </w:rPr>
              <w:t>突出问题</w:t>
            </w:r>
          </w:p>
        </w:tc>
      </w:tr>
      <w:tr w14:paraId="47722F3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0" w:hRule="atLeast"/>
        </w:trPr>
        <w:tc>
          <w:tcPr>
            <w:tcW w:w="915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7B27332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Style w:val="12"/>
                <w:rFonts w:hint="eastAsia" w:asciiTheme="minorEastAsia" w:hAnsiTheme="minorEastAsia" w:eastAsiaTheme="minorEastAsia" w:cstheme="minorEastAsia"/>
                <w:b w:val="0"/>
                <w:sz w:val="21"/>
                <w:szCs w:val="21"/>
                <w:bdr w:val="none" w:color="auto" w:sz="0" w:space="0"/>
                <w:lang w:val="en-US" w:eastAsia="zh-CN" w:bidi="ar"/>
              </w:rPr>
              <w:t>大模型</w:t>
            </w:r>
          </w:p>
        </w:tc>
        <w:tc>
          <w:tcPr>
            <w:tcW w:w="15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6C42CEDA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Style w:val="12"/>
                <w:rFonts w:hint="eastAsia" w:asciiTheme="minorEastAsia" w:hAnsiTheme="minorEastAsia" w:eastAsiaTheme="minorEastAsia" w:cstheme="minorEastAsia"/>
                <w:b w:val="0"/>
                <w:sz w:val="21"/>
                <w:szCs w:val="21"/>
                <w:bdr w:val="none" w:color="auto" w:sz="0" w:space="0"/>
                <w:lang w:val="en-US" w:eastAsia="zh-CN" w:bidi="ar"/>
              </w:rPr>
              <w:t>理 解 + 生 成</w:t>
            </w:r>
          </w:p>
        </w:tc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4F7CEE9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Style w:val="12"/>
                <w:rFonts w:hint="eastAsia" w:asciiTheme="minorEastAsia" w:hAnsiTheme="minorEastAsia" w:eastAsiaTheme="minorEastAsia" w:cstheme="minorEastAsia"/>
                <w:b w:val="0"/>
                <w:sz w:val="21"/>
                <w:szCs w:val="21"/>
                <w:bdr w:val="none" w:color="auto" w:sz="0" w:space="0"/>
                <w:lang w:val="en-US" w:eastAsia="zh-CN" w:bidi="ar"/>
              </w:rPr>
              <w:t>ChatGPT、DeepSeek</w:t>
            </w:r>
          </w:p>
        </w:tc>
        <w:tc>
          <w:tcPr>
            <w:tcW w:w="21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FFFFFF"/>
            <w:vAlign w:val="center"/>
          </w:tcPr>
          <w:p w14:paraId="311DDA39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Style w:val="12"/>
                <w:rFonts w:hint="eastAsia" w:asciiTheme="minorEastAsia" w:hAnsiTheme="minorEastAsia" w:eastAsiaTheme="minorEastAsia" w:cstheme="minorEastAsia"/>
                <w:b w:val="0"/>
                <w:sz w:val="21"/>
                <w:szCs w:val="21"/>
                <w:bdr w:val="none" w:color="auto" w:sz="0" w:space="0"/>
                <w:lang w:val="en-US" w:eastAsia="zh-CN" w:bidi="ar"/>
              </w:rPr>
              <w:t>懂你说啥，但不能动手</w:t>
            </w:r>
          </w:p>
        </w:tc>
      </w:tr>
      <w:tr w14:paraId="0716ECC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0" w:hRule="atLeast"/>
        </w:trPr>
        <w:tc>
          <w:tcPr>
            <w:tcW w:w="915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4239DD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Style w:val="12"/>
                <w:rFonts w:hint="eastAsia" w:asciiTheme="minorEastAsia" w:hAnsiTheme="minorEastAsia" w:eastAsiaTheme="minorEastAsia" w:cstheme="minorEastAsia"/>
                <w:b w:val="0"/>
                <w:sz w:val="21"/>
                <w:szCs w:val="21"/>
                <w:bdr w:val="none" w:color="auto" w:sz="0" w:space="0"/>
                <w:lang w:val="en-US" w:eastAsia="zh-CN" w:bidi="ar"/>
              </w:rPr>
              <w:t>RPA</w:t>
            </w:r>
          </w:p>
        </w:tc>
        <w:tc>
          <w:tcPr>
            <w:tcW w:w="15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73EDA38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Style w:val="12"/>
                <w:rFonts w:hint="eastAsia" w:asciiTheme="minorEastAsia" w:hAnsiTheme="minorEastAsia" w:eastAsiaTheme="minorEastAsia" w:cstheme="minorEastAsia"/>
                <w:b w:val="0"/>
                <w:sz w:val="21"/>
                <w:szCs w:val="21"/>
                <w:bdr w:val="none" w:color="auto" w:sz="0" w:space="0"/>
                <w:lang w:val="en-US" w:eastAsia="zh-CN" w:bidi="ar"/>
              </w:rPr>
              <w:t>执行力</w:t>
            </w:r>
          </w:p>
        </w:tc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7B5139F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Style w:val="12"/>
                <w:rFonts w:hint="eastAsia" w:asciiTheme="minorEastAsia" w:hAnsiTheme="minorEastAsia" w:eastAsiaTheme="minorEastAsia" w:cstheme="minorEastAsia"/>
                <w:b w:val="0"/>
                <w:sz w:val="21"/>
                <w:szCs w:val="21"/>
                <w:bdr w:val="none" w:color="auto" w:sz="0" w:space="0"/>
                <w:lang w:val="en-US" w:eastAsia="zh-CN" w:bidi="ar"/>
              </w:rPr>
              <w:t>财务自动记账、银行对账系统</w:t>
            </w:r>
          </w:p>
        </w:tc>
        <w:tc>
          <w:tcPr>
            <w:tcW w:w="21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FFFFFF"/>
            <w:vAlign w:val="center"/>
          </w:tcPr>
          <w:p w14:paraId="2D1E039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Style w:val="12"/>
                <w:rFonts w:hint="eastAsia" w:asciiTheme="minorEastAsia" w:hAnsiTheme="minorEastAsia" w:eastAsiaTheme="minorEastAsia" w:cstheme="minorEastAsia"/>
                <w:b w:val="0"/>
                <w:sz w:val="21"/>
                <w:szCs w:val="21"/>
                <w:bdr w:val="none" w:color="auto" w:sz="0" w:space="0"/>
                <w:lang w:val="en-US" w:eastAsia="zh-CN" w:bidi="ar"/>
              </w:rPr>
              <w:t>能做重复任务，但不会判断</w:t>
            </w:r>
          </w:p>
        </w:tc>
      </w:tr>
      <w:tr w14:paraId="375AE0D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5" w:hRule="atLeast"/>
        </w:trPr>
        <w:tc>
          <w:tcPr>
            <w:tcW w:w="915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FFFFFF"/>
            <w:vAlign w:val="center"/>
          </w:tcPr>
          <w:p w14:paraId="6496546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Style w:val="12"/>
                <w:rFonts w:hint="eastAsia" w:asciiTheme="minorEastAsia" w:hAnsiTheme="minorEastAsia" w:eastAsiaTheme="minorEastAsia" w:cstheme="minorEastAsia"/>
                <w:b w:val="0"/>
                <w:sz w:val="21"/>
                <w:szCs w:val="21"/>
                <w:bdr w:val="none" w:color="auto" w:sz="0" w:space="0"/>
                <w:lang w:val="en-US" w:eastAsia="zh-CN" w:bidi="ar"/>
              </w:rPr>
              <w:t>Al Agent</w:t>
            </w:r>
          </w:p>
        </w:tc>
        <w:tc>
          <w:tcPr>
            <w:tcW w:w="153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FFFFFF"/>
            <w:vAlign w:val="center"/>
          </w:tcPr>
          <w:p w14:paraId="0C91DEF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Style w:val="12"/>
                <w:rFonts w:hint="eastAsia" w:asciiTheme="minorEastAsia" w:hAnsiTheme="minorEastAsia" w:eastAsiaTheme="minorEastAsia" w:cstheme="minorEastAsia"/>
                <w:b w:val="0"/>
                <w:sz w:val="21"/>
                <w:szCs w:val="21"/>
                <w:bdr w:val="none" w:color="auto" w:sz="0" w:space="0"/>
                <w:lang w:val="en-US" w:eastAsia="zh-CN" w:bidi="ar"/>
              </w:rPr>
              <w:t>理 解 + 规 划 +行动</w:t>
            </w:r>
          </w:p>
        </w:tc>
        <w:tc>
          <w:tcPr>
            <w:tcW w:w="2324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FFFFFF"/>
            <w:vAlign w:val="center"/>
          </w:tcPr>
          <w:p w14:paraId="1FCC76A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Style w:val="12"/>
                <w:rFonts w:hint="eastAsia" w:asciiTheme="minorEastAsia" w:hAnsiTheme="minorEastAsia" w:eastAsiaTheme="minorEastAsia" w:cstheme="minorEastAsia"/>
                <w:b w:val="0"/>
                <w:sz w:val="21"/>
                <w:szCs w:val="21"/>
                <w:bdr w:val="none" w:color="auto" w:sz="0" w:space="0"/>
                <w:lang w:val="en-US" w:eastAsia="zh-CN" w:bidi="ar"/>
              </w:rPr>
              <w:t>Copilot for Workflow、流程型助理</w:t>
            </w:r>
          </w:p>
        </w:tc>
        <w:tc>
          <w:tcPr>
            <w:tcW w:w="2135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FFFFFF"/>
            <w:vAlign w:val="center"/>
          </w:tcPr>
          <w:p w14:paraId="6592CF8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Style w:val="12"/>
                <w:rFonts w:hint="eastAsia" w:asciiTheme="minorEastAsia" w:hAnsiTheme="minorEastAsia" w:eastAsiaTheme="minorEastAsia" w:cstheme="minorEastAsia"/>
                <w:b w:val="0"/>
                <w:sz w:val="21"/>
                <w:szCs w:val="21"/>
                <w:bdr w:val="none" w:color="auto" w:sz="0" w:space="0"/>
                <w:lang w:val="en-US" w:eastAsia="zh-CN" w:bidi="ar"/>
              </w:rPr>
              <w:t>正在构建"干活的Al",但尚未普及</w:t>
            </w:r>
          </w:p>
        </w:tc>
      </w:tr>
    </w:tbl>
    <w:p w14:paraId="0B4D0C6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AI Agent的本质不是要取代大模型或RPA，而是将两者的能力打通，构建出“有记忆、有判断、有行动”的企业级任务执行单元。它不只是让AI更聪明，还让AI更有用。</w:t>
      </w:r>
    </w:p>
    <w:p w14:paraId="1CDBFA1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如果说大模型像“企业顾问”、RPA像“流程机器人”，那么AI Agent就像一个有执行力、有自主性、还能与系统协同配合的数字员工。</w:t>
      </w:r>
    </w:p>
    <w:p w14:paraId="0D99D8B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需要指出的是，虽然AI Agent这个词在舆论场里已经“火出圈”，但在实际落地中，它已分化为两种技术架构与商业逻辑截然不同的类型。这一点在IDC于2025年Q1发布的《中国 AI Agent 应用市场概览》中被明确区分：</w:t>
      </w:r>
    </w:p>
    <w:tbl>
      <w:tblPr>
        <w:tblW w:w="6690" w:type="dxa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5"/>
        <w:gridCol w:w="1520"/>
        <w:gridCol w:w="1960"/>
        <w:gridCol w:w="1705"/>
      </w:tblGrid>
      <w:tr w14:paraId="3DB23A3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rHeight w:val="555" w:hRule="atLeast"/>
        </w:trPr>
        <w:tc>
          <w:tcPr>
            <w:tcW w:w="1505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vAlign w:val="center"/>
          </w:tcPr>
          <w:p w14:paraId="31FEFDF8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270" w:beforeAutospacing="0" w:after="270" w:afterAutospacing="0"/>
              <w:ind w:left="0" w:right="0" w:firstLine="0"/>
              <w:jc w:val="both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类型</w:t>
            </w:r>
          </w:p>
        </w:tc>
        <w:tc>
          <w:tcPr>
            <w:tcW w:w="152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29B9797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Style w:val="15"/>
                <w:rFonts w:hint="eastAsia" w:asciiTheme="minorEastAsia" w:hAnsiTheme="minorEastAsia" w:eastAsiaTheme="minorEastAsia" w:cstheme="minorEastAsia"/>
                <w:b w:val="0"/>
                <w:color w:val="000000"/>
                <w:sz w:val="21"/>
                <w:szCs w:val="21"/>
                <w:bdr w:val="none" w:color="auto" w:sz="0" w:space="0"/>
                <w:lang w:val="en-US" w:eastAsia="zh-CN" w:bidi="ar"/>
              </w:rPr>
              <w:t>面向对象</w:t>
            </w:r>
          </w:p>
        </w:tc>
        <w:tc>
          <w:tcPr>
            <w:tcW w:w="196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4150E2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应用场景</w:t>
            </w:r>
          </w:p>
        </w:tc>
        <w:tc>
          <w:tcPr>
            <w:tcW w:w="1705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FFFFFF"/>
            <w:vAlign w:val="center"/>
          </w:tcPr>
          <w:p w14:paraId="3450C64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技术核心</w:t>
            </w:r>
          </w:p>
        </w:tc>
      </w:tr>
      <w:tr w14:paraId="11D2878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0" w:hRule="atLeast"/>
        </w:trPr>
        <w:tc>
          <w:tcPr>
            <w:tcW w:w="1505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167C35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消费级智能体</w:t>
            </w:r>
          </w:p>
        </w:tc>
        <w:tc>
          <w:tcPr>
            <w:tcW w:w="1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3571C30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C端个人用户</w:t>
            </w:r>
          </w:p>
        </w:tc>
        <w:tc>
          <w:tcPr>
            <w:tcW w:w="1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590658A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Al写作、虚拟助手、日程管理、内容生成</w:t>
            </w:r>
          </w:p>
        </w:tc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FFFFFF"/>
            <w:vAlign w:val="center"/>
          </w:tcPr>
          <w:p w14:paraId="6C1D341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大模型能力+轻量插件+本地运行</w:t>
            </w:r>
          </w:p>
        </w:tc>
      </w:tr>
      <w:tr w14:paraId="257699B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5" w:hRule="atLeast"/>
        </w:trPr>
        <w:tc>
          <w:tcPr>
            <w:tcW w:w="1505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FFFFFF"/>
            <w:vAlign w:val="center"/>
          </w:tcPr>
          <w:p w14:paraId="3F7ED49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企业级智能体</w:t>
            </w:r>
          </w:p>
        </w:tc>
        <w:tc>
          <w:tcPr>
            <w:tcW w:w="152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FFFFFF"/>
            <w:vAlign w:val="center"/>
          </w:tcPr>
          <w:p w14:paraId="020F86A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B端组织架构</w:t>
            </w:r>
          </w:p>
        </w:tc>
        <w:tc>
          <w:tcPr>
            <w:tcW w:w="1960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FFFFFF"/>
            <w:vAlign w:val="center"/>
          </w:tcPr>
          <w:p w14:paraId="7F608B1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财务、供应链、客服、营销、运维等任务</w:t>
            </w:r>
          </w:p>
        </w:tc>
        <w:tc>
          <w:tcPr>
            <w:tcW w:w="1705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FFFFFF"/>
            <w:vAlign w:val="center"/>
          </w:tcPr>
          <w:p w14:paraId="4F06E7A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任务规划+工具调度+权限管理</w:t>
            </w:r>
          </w:p>
        </w:tc>
      </w:tr>
    </w:tbl>
    <w:p w14:paraId="1C50380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消费级智能体的目标是“提升个人效率”，强调轻量交互、便捷性和娱乐性，比如智能写作、日历调度、语音助手。</w:t>
      </w:r>
    </w:p>
    <w:p w14:paraId="6482E46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而企业级智能体的核心诉求是“替人干活”，强调流程完整性、安全合规性、系统协作能力。它必须能嵌入组织结构、连接业务系统、遵守流程规则，并在多个角色之间完成任务流转。</w:t>
      </w:r>
    </w:p>
    <w:p w14:paraId="2F65D52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IDC在报告中指出，企业级智能体需要具备以下几种核心能力：对复杂流程的全局规划与动态调度；对业务系统（如ERP、CRM、财务系统等）的可编程调用；多Agent协同机制，完成跨部门协作；权限、审计、安全策略嵌入，确保企业级可控性。</w:t>
      </w:r>
    </w:p>
    <w:p w14:paraId="1B24667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这也意味着，消费级智能体可以用“一人一助理”的形态存在，而企业级智能体必须以“系统型劳动力网络”方式运行。艺赛旗的定位，正是企业级智能体的“底层劳动力系统”建设者。</w:t>
      </w:r>
    </w:p>
    <w:p w14:paraId="7594DA1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0" w:beforeAutospacing="0" w:after="270" w:afterAutospacing="0"/>
        <w:ind w:left="0" w:right="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5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5274310" cy="2447290"/>
            <wp:effectExtent l="0" t="0" r="2540" b="1016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5A6A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center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Style w:val="7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智能体产业图谱 资料来源：IDC</w:t>
      </w:r>
    </w:p>
    <w:p w14:paraId="39C28A7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 w:line="24" w:lineRule="atLeast"/>
        <w:ind w:left="0" w:right="0" w:firstLine="0"/>
        <w:jc w:val="both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为什么说2025年</w:t>
      </w:r>
    </w:p>
    <w:p w14:paraId="636B0BAB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 w:line="24" w:lineRule="atLeast"/>
        <w:ind w:left="0" w:right="0" w:firstLine="0"/>
        <w:jc w:val="both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是“企业智能体”的产业化元年？</w:t>
      </w:r>
    </w:p>
    <w:p w14:paraId="0B55444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企业智能体的出现并不是一个偶然的技术跃迁，而是多条技术路线汇合、生态演进成熟、企业需求剧变共同推动下的结果。2025年，恰恰站在了这个三重交汇的临界点上。</w:t>
      </w:r>
    </w:p>
    <w:p w14:paraId="00A7BAB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从“AI能听懂”到“AI能动手”，这一能力转变不是自然进化，而是一场工程能力与组织逻辑的系统重塑。而企业智能体，正是这一重塑的关键产物。</w:t>
      </w:r>
    </w:p>
    <w:p w14:paraId="7BACA94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我们可以从技术、生态与需求三个层面，清晰地看到“企业智能体元年”的到来。</w:t>
      </w:r>
    </w:p>
    <w:p w14:paraId="01F0E4F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Style w:val="6"/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1. 能力上：AI终于具备了“动手”的条件</w:t>
      </w:r>
    </w:p>
    <w:p w14:paraId="316ACD4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过去的AI，尤其是大模型，更多展现的是语言理解与生成能力。但完成一项任务，仅靠理解远远不够。企业级任务执行需要 AI 具备如下能力：</w:t>
      </w:r>
    </w:p>
    <w:p w14:paraId="6559CBA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Style w:val="6"/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工具使用（Tool Use）：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能够自动调用外部工具和系统；</w:t>
      </w:r>
    </w:p>
    <w:p w14:paraId="117F581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Style w:val="6"/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任务规划（Planning）：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能够将意图拆解为多步操作路径；</w:t>
      </w:r>
    </w:p>
    <w:p w14:paraId="78CD5EE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Style w:val="6"/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记忆与状态管理（Memory）：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能够记住上下文与中间步骤；</w:t>
      </w:r>
    </w:p>
    <w:p w14:paraId="0F812D2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Style w:val="6"/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决策与容错能力：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在流程出现偏差时动态调整执行路径。</w:t>
      </w:r>
    </w:p>
    <w:p w14:paraId="00C069A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从GPT-4的Function Calling、AutoGPT的多步链式执行，到国内模型（如DeepSeek、文心一言、通义千问、智谱AI等）逐步支持自定义工具调用与API接入，智能体的关键构件正在“拼图完成”。</w:t>
      </w:r>
    </w:p>
    <w:p w14:paraId="6DBA036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更重要的是，这些能力不再只存在于Demo视频中，而是具备工程可部署性。</w:t>
      </w:r>
    </w:p>
    <w:p w14:paraId="0A6BB64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Style w:val="6"/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2. 生态上：Agent开发框架逐步成型，进入“标准化前夜”</w:t>
      </w:r>
    </w:p>
    <w:p w14:paraId="6C47B33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过去一年，AI Agent领域出现了数个关键开源项目与开发范式，例如：</w:t>
      </w:r>
    </w:p>
    <w:p w14:paraId="0890CE5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Style w:val="6"/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LangChain：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构建“语言驱动型流程”框架，实现任务分解与多工具串联；</w:t>
      </w:r>
    </w:p>
    <w:p w14:paraId="61AE96A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Style w:val="6"/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AutoGPT / AgentGPT：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探索“自主多轮智能体”的可能性；</w:t>
      </w:r>
    </w:p>
    <w:p w14:paraId="2F63A35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Style w:val="6"/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MCP（Multi-Agent Collaboration Protocol）：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提出多Agent协同执行机制；</w:t>
      </w:r>
    </w:p>
    <w:p w14:paraId="7286E22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Style w:val="6"/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A2A（Agent-to-Agent）：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尝试实现智能体之间的自然语言指令交互与子任务协商。</w:t>
      </w:r>
    </w:p>
    <w:p w14:paraId="1505769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这些框架虽然尚未进入企业大规模部署，但它们标志着Agent开发模式从零散探索走向平台标准化。在中国市场，也已有多家AI厂商布局自己的Agent平台雏形，支持在企业内构建“有身份、有权限、有工具调用能力”的任务型智能体。可以说，一场围绕Agent生态的竞争已悄然展开。</w:t>
      </w:r>
    </w:p>
    <w:p w14:paraId="2EBCBF6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Style w:val="6"/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3. 需求上：企业正经历“自动劳动力”的结构性紧缺</w:t>
      </w:r>
    </w:p>
    <w:p w14:paraId="3428A6D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技术与生态的演进，最终必须落在现实企业的运营痛点上。</w:t>
      </w:r>
    </w:p>
    <w:p w14:paraId="1ABA0F0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在当前的数字化环境中，企业面临以下三类现实瓶颈：任务越来越碎，流程越来越细，但人力成本持续上升；SaaS系统越建越多，但系统间协作仍需靠人力搬运；大量中后台工作重复、标准化、可流程化，却找不到降本路径。</w:t>
      </w:r>
    </w:p>
    <w:p w14:paraId="744711A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这类问题不是简单调用DeepSeek、ChatGPT能解决的，企业真正需要的，是能理解业务逻辑、能串联系统调用、能安全执行任务的“数字劳动力”——也就是企业智能体。</w:t>
      </w:r>
    </w:p>
    <w:p w14:paraId="2D486C9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所以，进入2025年，也许是企业智能体具备技术、生态与需求三位一体共振的规模化落地起点。</w:t>
      </w:r>
    </w:p>
    <w:p w14:paraId="02E4D85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 w:line="24" w:lineRule="atLeast"/>
        <w:ind w:left="0" w:right="0" w:firstLine="0"/>
        <w:jc w:val="both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艺赛旗不只是AI公司</w:t>
      </w:r>
    </w:p>
    <w:p w14:paraId="4DAC4BD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 w:line="24" w:lineRule="atLeast"/>
        <w:ind w:left="0" w:right="0" w:firstLine="0"/>
        <w:jc w:val="both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还是“企业智能体的建造商”</w:t>
      </w:r>
    </w:p>
    <w:p w14:paraId="6EA8412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15" w:lineRule="atLeast"/>
        <w:ind w:left="240" w:right="240" w:firstLine="0"/>
        <w:jc w:val="center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</w:p>
    <w:p w14:paraId="56F1008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在技术突破和产业需求汇合的背景下，许多AI厂商都在探索自己的Agent化路径。有的从大模型起步，强调语言理解和能力复用；有的从工具切入，希望通过插件生态构建任务能力。但对于大多数企业客户而言，构建一套“能调度、能执行、能治理”的数字劳动力系统，仍然是一件困难的事。</w:t>
      </w:r>
    </w:p>
    <w:p w14:paraId="0B6A7F4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这正是艺赛旗的切入点所在。作为一家深耕流程自动化14年的企业服务厂商，艺赛旗并没有简单地把大模型包装成“企业助理”，而是更进一步，试图提供一整套“企业智能体操作系统”——不仅能干活，还能部署、能管控、能适配企业业务的复杂性。</w:t>
      </w:r>
    </w:p>
    <w:p w14:paraId="54755F0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0" w:beforeAutospacing="0" w:after="270" w:afterAutospacing="0"/>
        <w:ind w:left="0" w:right="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6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5266690" cy="1736090"/>
            <wp:effectExtent l="0" t="0" r="10160" b="1651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49DE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center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Style w:val="7"/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艺赛旗产品架构图</w:t>
      </w:r>
    </w:p>
    <w:p w14:paraId="01A01DF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那艺赛旗是怎么做的呢？具体来看，艺赛旗构建的体系包括：</w:t>
      </w:r>
    </w:p>
    <w:p w14:paraId="297D540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Style w:val="6"/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1.自动化魔术师：企业智能体的第一种可交互形态</w:t>
      </w:r>
    </w:p>
    <w:p w14:paraId="3B0AB86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本次发布中最具标志性的，是名为“自动化魔术师” 的新产品，这是艺赛旗首次将“Agent”打造为一个可被普通员工召唤、理解、调度的企业智能体。员工只要“说”出自己的任务意图，系统识别后，能自动解析需求、生成流程逻辑、调用RPA机器人，完成跨系统、跨角色的业务执行。</w:t>
      </w:r>
    </w:p>
    <w:p w14:paraId="37FA0CA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它具备的几个核心特征，描绘出企业智能体的产品轮廓：企业级安全架构与权限体系嵌入，适配不同岗位场景；支持API与UI双模调用，提升智能体与系统的可连接性；聚焦任务规划与自动执行，而非仅是“智能问答”。</w:t>
      </w:r>
    </w:p>
    <w:p w14:paraId="4A022B7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“魔术师”并非为了替代人力，而是成为人力之后的“第二执行层”：当任务明确、流程清晰，它就可以自动接棒，完成具体事务的全流程执行。这种“代行式”的企业智能体，是艺赛旗区别于市面上“聊天式AI”消费级智能体的关键特征。</w:t>
      </w:r>
    </w:p>
    <w:p w14:paraId="79B3B22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Style w:val="6"/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2.旗旗助手2.0+智能组件库：提升智能开发能力的重要“抓手”</w:t>
      </w:r>
    </w:p>
    <w:p w14:paraId="2A97594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除了自动化魔术师，艺赛旗也同步展示了其在开发侧的探索成果——旗旗助手2.0和智能组件库。它们并非以独立产品形式出现，而是以能力形态嵌入到了其现有的RPA体系之中。通过融合大模型能力，旗旗助手2.0与智能组件逐步承担起流程构建、文档解析、任务辅助等功能，降低了流程开发的技术门槛。</w:t>
      </w:r>
    </w:p>
    <w:p w14:paraId="7AE1D59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70" w:beforeAutospacing="0" w:after="270" w:afterAutospacing="0"/>
        <w:ind w:left="0" w:right="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266690" cy="1653540"/>
            <wp:effectExtent l="0" t="0" r="10160" b="3810"/>
            <wp:docPr id="1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IMG_26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53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BB44A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例如：流程注释、流程解释等功能，可以帮助用户快速理解和修改复杂流程图；智能回答与问题排查能力，可在开发阶段提供文档支持与调试协助；文本抽取、数据比对等组件，作为任务链中的能力插件，提升开发效率。</w:t>
      </w:r>
    </w:p>
    <w:p w14:paraId="5BFE452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Style w:val="6"/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3.AI Center：企业智能体平台的前哨试验</w:t>
      </w:r>
    </w:p>
    <w:p w14:paraId="035FE7F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值得一提的是，艺赛旗也发布了名为AI Center 的平台级能力预览，尝试将“构建型Agent”与“开箱即用型Agent”统一管理。它要承担的，是企业级Agent治理、资源调度、任务可视化中枢等职能，真正构建起“智能体平台”的雏形。</w:t>
      </w:r>
    </w:p>
    <w:p w14:paraId="6D9BB63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在AI Agent落地仍处于“探索期”的当下，艺赛旗已在多个行业头部客户中跑出落地案例，为“企业级Agent系统”提供了可复制的样板。接下来，我们来看两个典型的案例。</w:t>
      </w:r>
    </w:p>
    <w:p w14:paraId="083C1E0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Style w:val="6"/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优合集团：打造国际供应链“智能助手网”</w:t>
      </w:r>
    </w:p>
    <w:p w14:paraId="1CCF2CF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在该案例中，落地智能体场景包括人才筛选、合规校验、资金流调度与船期管理，并实现多个智能体协同处理任务，平均每月节省人力成本超1300人天。通过打造“智能助手网”，帮助优合集团实现从信息采集→规则比对→表单填报→任务执行的链路智能化。</w:t>
      </w:r>
    </w:p>
    <w:p w14:paraId="329C87D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Style w:val="6"/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上海机场：构建“超级财务Agent”</w:t>
      </w:r>
    </w:p>
    <w:p w14:paraId="07AA2E4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在该项目中，上海机场以RPA为基础，接入艺赛旗智能体系统，在22个财务高频流程中部署任务执行体，包括银企对账、结账、核销、报表生成等。通过构建“超级财务Agent”，帮助上海机场实现降低人工介入、提升时效性、实现智能化审计与风控等目标。</w:t>
      </w:r>
    </w:p>
    <w:p w14:paraId="3134794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从上面例子中可以看出，艺赛旗的目标，不仅在于提升单个产品的智能水平，更在于探索一整套从流程理解→ 任务调度 → 系统调用 → 安全治理的智能体工程化解法。它不是AI Agent的开创者，但它可能是中国最早一批将其系统性平台化、规模部署化的产业实践者。</w:t>
      </w:r>
    </w:p>
    <w:p w14:paraId="4588EB3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也正因为此，我们才可以说：企业智能体不只是一个概念，而是目前企业必须面对的“组织协作基础设施”升级命题。</w:t>
      </w:r>
    </w:p>
    <w:p w14:paraId="7897DE1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 w:line="24" w:lineRule="atLeast"/>
        <w:ind w:left="0" w:right="0" w:firstLine="0"/>
        <w:jc w:val="both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企业智能体正在颠覆传统软件、</w:t>
      </w:r>
    </w:p>
    <w:p w14:paraId="7D02F97B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 w:line="24" w:lineRule="atLeast"/>
        <w:ind w:left="0" w:right="0" w:firstLine="0"/>
        <w:jc w:val="both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SaaS系统的底层逻辑</w:t>
      </w:r>
    </w:p>
    <w:p w14:paraId="099ABFC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15" w:lineRule="atLeast"/>
        <w:ind w:left="240" w:right="240" w:firstLine="0"/>
        <w:jc w:val="center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</w:p>
    <w:p w14:paraId="45A1F9D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长久以来，企业对软件的理解，几乎是以“SaaS范式”为基准的：工具即服务、模块即功能、用户点选、流程触发。SaaS推动了IT系统的标准化，但它也有天然的局限性：工具是静态的，流程要人为配置；模块之间孤立，跨系统协作复杂；多数SaaS产品解决“信息通达”，但不解决“任务完成”。</w:t>
      </w:r>
    </w:p>
    <w:p w14:paraId="74145D5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如今，企业智能体的崛起，正在改变这一切。</w:t>
      </w:r>
    </w:p>
    <w:p w14:paraId="0B65474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SaaS的本质是“软件即服务”（Software as a Service），也就是企业将传统的本地应用迁移到云端，获得更高的部署效率与更低的维护成本。而企业智能体的逻辑是“结果即服务”（Result as a Service）：企业不再关心模块入口和功能配置，而是只在意“这件事能不能完成”。</w:t>
      </w:r>
    </w:p>
    <w:p w14:paraId="6E481DE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我们可以用一张对比表，清晰感知SaaS与企业智能体在底层协作逻辑上的根本差异：</w:t>
      </w:r>
    </w:p>
    <w:tbl>
      <w:tblPr>
        <w:tblW w:w="8219" w:type="dxa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00"/>
        <w:gridCol w:w="2827"/>
        <w:gridCol w:w="3992"/>
      </w:tblGrid>
      <w:tr w14:paraId="4F22772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5" w:hRule="atLeast"/>
        </w:trPr>
        <w:tc>
          <w:tcPr>
            <w:tcW w:w="1400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vAlign w:val="center"/>
          </w:tcPr>
          <w:p w14:paraId="1ED012A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模式维度</w:t>
            </w:r>
          </w:p>
        </w:tc>
        <w:tc>
          <w:tcPr>
            <w:tcW w:w="282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5D24B6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SaaS范式</w:t>
            </w:r>
          </w:p>
        </w:tc>
        <w:tc>
          <w:tcPr>
            <w:tcW w:w="3992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FFFFFF"/>
            <w:vAlign w:val="center"/>
          </w:tcPr>
          <w:p w14:paraId="6243AC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企业智能体范式</w:t>
            </w:r>
          </w:p>
        </w:tc>
      </w:tr>
      <w:tr w14:paraId="28D1793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0" w:hRule="atLeast"/>
        </w:trPr>
        <w:tc>
          <w:tcPr>
            <w:tcW w:w="1400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040C7D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架构逻辑</w:t>
            </w:r>
          </w:p>
        </w:tc>
        <w:tc>
          <w:tcPr>
            <w:tcW w:w="28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328C1C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系 统 → 流 程 → 人</w:t>
            </w:r>
          </w:p>
        </w:tc>
        <w:tc>
          <w:tcPr>
            <w:tcW w:w="3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FFFFFF"/>
            <w:vAlign w:val="center"/>
          </w:tcPr>
          <w:p w14:paraId="30C16C5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任务 → 意图 → Agent</w:t>
            </w:r>
          </w:p>
        </w:tc>
      </w:tr>
      <w:tr w14:paraId="1AE0A67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0" w:hRule="atLeast"/>
        </w:trPr>
        <w:tc>
          <w:tcPr>
            <w:tcW w:w="1400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66734E3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人机关系</w:t>
            </w:r>
          </w:p>
        </w:tc>
        <w:tc>
          <w:tcPr>
            <w:tcW w:w="28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2BA95E1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人操作系统</w:t>
            </w:r>
          </w:p>
        </w:tc>
        <w:tc>
          <w:tcPr>
            <w:tcW w:w="3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FFFFFF"/>
            <w:vAlign w:val="center"/>
          </w:tcPr>
          <w:p w14:paraId="6F2850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人分配任务，Agent执行</w:t>
            </w:r>
          </w:p>
        </w:tc>
      </w:tr>
      <w:tr w14:paraId="05E99EB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0" w:hRule="atLeast"/>
        </w:trPr>
        <w:tc>
          <w:tcPr>
            <w:tcW w:w="1400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1933CC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交互方式</w:t>
            </w:r>
          </w:p>
        </w:tc>
        <w:tc>
          <w:tcPr>
            <w:tcW w:w="28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27A47FF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点击/配置</w:t>
            </w:r>
          </w:p>
        </w:tc>
        <w:tc>
          <w:tcPr>
            <w:tcW w:w="3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FFFFFF"/>
            <w:vAlign w:val="center"/>
          </w:tcPr>
          <w:p w14:paraId="590AB2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自然语言/指令驱动</w:t>
            </w:r>
          </w:p>
        </w:tc>
      </w:tr>
      <w:tr w14:paraId="53D7CFE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0" w:hRule="atLeast"/>
        </w:trPr>
        <w:tc>
          <w:tcPr>
            <w:tcW w:w="1400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476FC1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升级重点</w:t>
            </w:r>
          </w:p>
        </w:tc>
        <w:tc>
          <w:tcPr>
            <w:tcW w:w="28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 w14:paraId="6E4B97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新功能+新模块</w:t>
            </w:r>
          </w:p>
        </w:tc>
        <w:tc>
          <w:tcPr>
            <w:tcW w:w="3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FFFFFF"/>
            <w:vAlign w:val="center"/>
          </w:tcPr>
          <w:p w14:paraId="3A1B3B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执行力增强+协作智能</w:t>
            </w:r>
          </w:p>
        </w:tc>
      </w:tr>
      <w:tr w14:paraId="0C08C33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5" w:hRule="atLeast"/>
        </w:trPr>
        <w:tc>
          <w:tcPr>
            <w:tcW w:w="1400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FFFFFF"/>
            <w:vAlign w:val="center"/>
          </w:tcPr>
          <w:p w14:paraId="56B83EC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组织逻辑</w:t>
            </w:r>
          </w:p>
        </w:tc>
        <w:tc>
          <w:tcPr>
            <w:tcW w:w="2827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FFFFFF"/>
            <w:vAlign w:val="center"/>
          </w:tcPr>
          <w:p w14:paraId="4798614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系统为主，流程固化</w:t>
            </w:r>
          </w:p>
        </w:tc>
        <w:tc>
          <w:tcPr>
            <w:tcW w:w="3992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FFFFFF"/>
            <w:vAlign w:val="center"/>
          </w:tcPr>
          <w:p w14:paraId="0A2DF7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Agent为主，任务动态重构</w:t>
            </w:r>
          </w:p>
        </w:tc>
      </w:tr>
    </w:tbl>
    <w:p w14:paraId="21684A9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这一逻辑转变的本质是：企业不再围绕“系统菜单”展开协作，而是围绕“任务网络”构建智能化组织。</w:t>
      </w:r>
    </w:p>
    <w:p w14:paraId="5709EDC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企业不再需要大量人为监控系统执行状态，而是通过Agent网络，实现任务流的“自驱动化”。软件系统不再是“被操作”的对象，而是“主动完成任务”的数字员工队伍。从这个角度看，企业智能体正在重构下一代企业基础设施。企业的数字化基础设施</w:t>
      </w:r>
      <w:bookmarkStart w:id="0" w:name="_GoBack"/>
      <w:bookmarkEnd w:id="0"/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不再是“系统集合”，而是“智能体集群”。</w:t>
      </w:r>
    </w:p>
    <w:p w14:paraId="35018F6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当我们回顾AI这几年的技术热潮，会发现一个规律：每一次革命性进展，最终都要靠“能不能落地”来检验价值。当技术栈成熟、生态工具涌现、企业需求从“会说话”走向“能干活”——这三重趋势叠加下，2025年，正在成为企业智能体从实验室走向办公桌的第一年。</w:t>
      </w:r>
    </w:p>
    <w:p w14:paraId="08B182A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3" w:lineRule="atLeast"/>
        <w:ind w:left="120" w:right="120" w:firstLine="0"/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22222"/>
          <w:spacing w:val="15"/>
          <w:sz w:val="21"/>
          <w:szCs w:val="21"/>
          <w:bdr w:val="none" w:color="auto" w:sz="0" w:space="0"/>
          <w:shd w:val="clear" w:fill="FFFFFF"/>
        </w:rPr>
        <w:t>我们今天谈“企业智能体元年”，不是因为这个概念足够新，而是因为它终于开始有了“用”的价值。这一次，AI终于不再是“高参”，而是走向了企业的真实业务流程。而这，才是艺赛旗们的价值所在。</w:t>
      </w:r>
    </w:p>
    <w:p w14:paraId="70EBEB1A"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33D38A1"/>
    <w:rsid w:val="433D38A1"/>
    <w:rsid w:val="59F35614"/>
    <w:rsid w:val="699B6A4B"/>
    <w:rsid w:val="71B23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Emphasis"/>
    <w:basedOn w:val="5"/>
    <w:qFormat/>
    <w:uiPriority w:val="0"/>
    <w:rPr>
      <w:i/>
    </w:rPr>
  </w:style>
  <w:style w:type="character" w:customStyle="1" w:styleId="8">
    <w:name w:val="font11"/>
    <w:basedOn w:val="5"/>
    <w:uiPriority w:val="0"/>
    <w:rPr>
      <w:rFonts w:ascii="宋体" w:hAnsi="宋体" w:eastAsia="宋体" w:cs="宋体"/>
      <w:b/>
      <w:bCs/>
      <w:color w:val="371D00"/>
      <w:sz w:val="18"/>
      <w:szCs w:val="18"/>
      <w:u w:val="none"/>
    </w:rPr>
  </w:style>
  <w:style w:type="character" w:customStyle="1" w:styleId="9">
    <w:name w:val="font61"/>
    <w:basedOn w:val="5"/>
    <w:uiPriority w:val="0"/>
    <w:rPr>
      <w:rFonts w:ascii="宋体" w:hAnsi="宋体" w:eastAsia="宋体" w:cs="宋体"/>
      <w:b/>
      <w:bCs/>
      <w:color w:val="000000"/>
      <w:sz w:val="18"/>
      <w:szCs w:val="18"/>
      <w:u w:val="none"/>
    </w:rPr>
  </w:style>
  <w:style w:type="character" w:customStyle="1" w:styleId="10">
    <w:name w:val="font31"/>
    <w:basedOn w:val="5"/>
    <w:uiPriority w:val="0"/>
    <w:rPr>
      <w:rFonts w:ascii="宋体" w:hAnsi="宋体" w:eastAsia="宋体" w:cs="宋体"/>
      <w:b/>
      <w:bCs/>
      <w:color w:val="341C00"/>
      <w:sz w:val="18"/>
      <w:szCs w:val="18"/>
      <w:u w:val="none"/>
    </w:rPr>
  </w:style>
  <w:style w:type="character" w:customStyle="1" w:styleId="11">
    <w:name w:val="font41"/>
    <w:basedOn w:val="5"/>
    <w:uiPriority w:val="0"/>
    <w:rPr>
      <w:rFonts w:ascii="宋体" w:hAnsi="宋体" w:eastAsia="宋体" w:cs="宋体"/>
      <w:b/>
      <w:bCs/>
      <w:color w:val="341A00"/>
      <w:sz w:val="18"/>
      <w:szCs w:val="18"/>
      <w:u w:val="none"/>
    </w:rPr>
  </w:style>
  <w:style w:type="character" w:customStyle="1" w:styleId="12">
    <w:name w:val="font71"/>
    <w:basedOn w:val="5"/>
    <w:uiPriority w:val="0"/>
    <w:rPr>
      <w:rFonts w:ascii="宋体" w:hAnsi="宋体" w:eastAsia="宋体" w:cs="宋体"/>
      <w:color w:val="000000"/>
      <w:sz w:val="18"/>
      <w:szCs w:val="18"/>
      <w:u w:val="none"/>
    </w:rPr>
  </w:style>
  <w:style w:type="character" w:customStyle="1" w:styleId="13">
    <w:name w:val="font81"/>
    <w:basedOn w:val="5"/>
    <w:uiPriority w:val="0"/>
    <w:rPr>
      <w:rFonts w:ascii="Arial" w:hAnsi="Arial" w:cs="Arial"/>
      <w:color w:val="000000"/>
      <w:sz w:val="21"/>
      <w:szCs w:val="21"/>
      <w:u w:val="none"/>
    </w:rPr>
  </w:style>
  <w:style w:type="character" w:customStyle="1" w:styleId="14">
    <w:name w:val="font91"/>
    <w:basedOn w:val="5"/>
    <w:uiPriority w:val="0"/>
    <w:rPr>
      <w:rFonts w:hint="default" w:ascii="Arial" w:hAnsi="Arial" w:cs="Arial"/>
      <w:color w:val="000000"/>
      <w:sz w:val="22"/>
      <w:szCs w:val="22"/>
      <w:u w:val="none"/>
    </w:rPr>
  </w:style>
  <w:style w:type="character" w:customStyle="1" w:styleId="15">
    <w:name w:val="font21"/>
    <w:basedOn w:val="5"/>
    <w:uiPriority w:val="0"/>
    <w:rPr>
      <w:rFonts w:ascii="宋体" w:hAnsi="宋体" w:eastAsia="宋体" w:cs="宋体"/>
      <w:b/>
      <w:bCs/>
      <w:color w:val="351900"/>
      <w:sz w:val="18"/>
      <w:szCs w:val="18"/>
      <w:u w:val="non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../NUL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2025-04-27T02:26:00Z</dcterms:created>
  <dc:creator>伍志勇</dc:creator>
  <cp:lastModifiedBy>伍志勇</cp:lastModifiedBy>
  <dcterms:modified xsi:type="dcterms:W3CDTF">2025-04-27T02:42:18Z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4848C1228EB7453F800D66E57D40E002_11</vt:lpwstr>
  </property>
  <property fmtid="{D5CDD505-2E9C-101B-9397-08002B2CF9AE}" pid="4" name="KSOTemplateDocerSaveRecord">
    <vt:lpwstr>eyJoZGlkIjoiOWY4MGIzZjMxMThjYmQ3YjA2MmJlN2MzNDAyNzUyYzQiLCJ1c2VySWQiOiIzMzQ5NzI1ODQifQ==</vt:lpwstr>
  </property>
</Properties>
</file>