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地磁停车传感器功耗测试报告</w:t>
      </w:r>
    </w:p>
    <w:p>
      <w:pPr>
        <w:spacing w:after="300"/>
        <w:jc w:val="center"/>
      </w:pPr>
      <w:r>
        <w:rPr>
          <w:rFonts w:ascii="Times New Roman" w:eastAsia="SimSun" w:hAnsi="Times New Roman"/>
          <w:color w:val="595959"/>
          <w:sz w:val="22"/>
          <w:szCs w:val="22"/>
        </w:rPr>
        <w:t xml:space="preserve">（报告模板 V1.0 —— 配套《地磁停车传感器功耗测试方案》使用）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2313"/>
        <w:gridCol w:w="2200"/>
        <w:gridCol w:w="2313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产品型号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密级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【待填】（如 MPS-100）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【待填】（例：内部）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300"/>
        <w:gridCol w:w="5226"/>
        <w:gridCol w:w="2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签名 / 日期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编写（测试执行人）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按测试方案执行并编制本报告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数据复核（独立第二人，必设）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方案 7.3 三查与计算复核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审核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技术审核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批准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批准发布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40"/>
      </w:pPr>
      <w:r>
        <w:rPr>
          <w:rFonts w:ascii="Times New Roman" w:eastAsia="SimSun" w:hAnsi="Times New Roman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200"/>
        <w:gridCol w:w="1600"/>
        <w:gridCol w:w="5026"/>
        <w:gridCol w:w="12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修订人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【填写说明】本模板的灰色斜体段落为填写指引，填写完成后应删除；所有【待填】项提交前必须补齐，未测/无数据的项须在第 6 章偏差表说明。</w:t>
      </w:r>
    </w:p>
    <w:p>
      <w:pPr>
        <w:pStyle w:val="Heading1"/>
        <w:keepNext/>
      </w:pPr>
      <w:r>
        <w:t xml:space="preserve">1  测试对象</w:t>
      </w:r>
    </w:p>
    <w:p>
      <w:pPr>
        <w:pStyle w:val="Heading2"/>
        <w:keepNext/>
      </w:pPr>
      <w:r>
        <w:t xml:space="preserve">1.1  样机清单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000"/>
        <w:gridCol w:w="2600"/>
        <w:gridCol w:w="1800"/>
        <w:gridCol w:w="2200"/>
        <w:gridCol w:w="1426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样机序号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 EUI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硬件版本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软件版本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校准状态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pStyle w:val="Heading2"/>
        <w:keepNext/>
      </w:pPr>
      <w:r>
        <w:t xml:space="preserve">1.2  电池信息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型号 / 化学体系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单体配置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标称容量 / 标称电压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 mAh / 【待填】 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规格书版本及关键页引用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【填写说明】必须注明自放电-温度曲线与低温容量曲线的规格书页码/图号，供第 7 章推导引用。</w:t>
      </w:r>
    </w:p>
    <w:p>
      <w:pPr>
        <w:pStyle w:val="Heading2"/>
        <w:keepNext/>
      </w:pPr>
      <w:r>
        <w:t xml:space="preserve">1.3  安装方式与部署环境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安装方式：□ 表面贴装  □ 嵌入沥青  □ 地埋；基面材质：【待填】；部署地点气候特征（夏季高温/冬季低温）：【待填】；现场照片索引见附录 C。</w:t>
      </w:r>
    </w:p>
    <w:p>
      <w:pPr>
        <w:pStyle w:val="Heading1"/>
        <w:keepNext/>
      </w:pPr>
      <w:r>
        <w:t xml:space="preserve">2  测试目的与判定依据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本次测试目的：验证 【待填】（型号）在 【待填】（场景）下的整机功耗与电池寿命是否符合设计要求。判定依据为经签认的指标基线表：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900"/>
        <w:gridCol w:w="3300"/>
        <w:gridCol w:w="2300"/>
        <w:gridCol w:w="1400"/>
        <w:gridCol w:w="11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限值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规格书条款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判定结果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【填写说明】限值必须引用产品规格书条款号或经研发负责人书面确认的基线，禁止无出处限值。</w:t>
      </w:r>
    </w:p>
    <w:p>
      <w:pPr>
        <w:pStyle w:val="Heading1"/>
        <w:keepNext/>
      </w:pPr>
      <w:r>
        <w:t xml:space="preserve">3  测试环境与仪器</w:t>
      </w:r>
    </w:p>
    <w:p>
      <w:pPr>
        <w:pStyle w:val="Heading2"/>
        <w:keepNext/>
      </w:pPr>
      <w:r>
        <w:t xml:space="preserve">3.1  仪器清单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000"/>
        <w:gridCol w:w="1900"/>
        <w:gridCol w:w="1500"/>
        <w:gridCol w:w="1900"/>
        <w:gridCol w:w="18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型号/编号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量程/分辨率/采样率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校准证书编号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校准有效期至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功耗分析仪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恒压直流源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网关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温度记录仪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pStyle w:val="Heading2"/>
        <w:keepNext/>
      </w:pPr>
      <w:r>
        <w:t xml:space="preserve">3.2  供电与换算基准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供电电压设定值：【待填】 V（例：3.60 V）；本报告所有 µWh→µAh 换算均使用该电压值。</w:t>
      </w:r>
    </w:p>
    <w:p>
      <w:pPr>
        <w:pStyle w:val="Heading2"/>
        <w:keepNext/>
      </w:pPr>
      <w:r>
        <w:t xml:space="preserve">3.3  人员、周期与环境温度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测试执行人：【待填】；数据复核人：【待填】；测试周期：【待填】 至 【待填】。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400"/>
        <w:gridCol w:w="2200"/>
        <w:gridCol w:w="2200"/>
        <w:gridCol w:w="22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测试日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环境温度（范围）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地表温度（如有）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pStyle w:val="Heading2"/>
        <w:keepNext/>
      </w:pPr>
      <w:r>
        <w:t xml:space="preserve">3.4  网络环境与设备对应关系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300"/>
        <w:gridCol w:w="2400"/>
        <w:gridCol w:w="1800"/>
        <w:gridCol w:w="1600"/>
        <w:gridCol w:w="1926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布置/距离/遮挡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实测 RSSI 区间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实测 DR（SF）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适用设备/章节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 常规网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B 弱网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【填写说明】RSSI/DR 以网关/NS 日志导出为准，日志摘录见附录 B；每台设备与环境的对应关系必须逐一登记。</w:t>
      </w:r>
    </w:p>
    <w:p>
      <w:pPr>
        <w:pStyle w:val="Heading2"/>
        <w:keepNext/>
      </w:pPr>
      <w:r>
        <w:t xml:space="preserve">3.5  LoRaWAN 参数登记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000"/>
        <w:gridCol w:w="3200"/>
        <w:gridCol w:w="28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设定值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参数来源（固件配置/导出文件）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上报确认模式（确认/非确认）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NbTrans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发射功率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ADR 开关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确认上报重传上限/重发策略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弱网场景实测重传次数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【填写说明】非确认上报不存在链路层重传，不得使用“重传功耗”表述；弱网章节必须附实测重传证据。</w:t>
      </w:r>
    </w:p>
    <w:p>
      <w:pPr>
        <w:pStyle w:val="Heading1"/>
        <w:keepNext/>
        <w:pageBreakBefore/>
      </w:pPr>
      <w:r>
        <w:t xml:space="preserve">4  测试场景覆盖矩阵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700"/>
        <w:gridCol w:w="3300"/>
        <w:gridCol w:w="1200"/>
        <w:gridCol w:w="1500"/>
        <w:gridCol w:w="232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样本量 n（逐设备）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完成情况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睡眠底噪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偏差（见 6.2）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雷达脉冲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磁力计检测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长周期唤醒/防死机扫描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车辆驶入事件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车辆占用保持状态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车辆驶离事件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周期上报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弱网事件（驶入/驶离/上报）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事件功耗构成拆分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A/B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完成  □ 偏差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【填写说明】S6 为必测项：未测时必须在偏差表说明原因及对寿命结论的影响评估，不得静默省略。</w:t>
      </w:r>
    </w:p>
    <w:p>
      <w:pPr>
        <w:pStyle w:val="Heading1"/>
        <w:keepNext/>
      </w:pPr>
      <w:r>
        <w:t xml:space="preserve">5  测试数据</w:t>
      </w:r>
    </w:p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【填写说明】每小节固定结构：数据表（含 n/最小/平均/最大/标准差）+ 典型波形图 + 网关侧记录摘录；数据均源自原始数据文件（附录 A），不得使用截图人工读数。</w:t>
      </w:r>
    </w:p>
    <w:p>
      <w:pPr>
        <w:pStyle w:val="Heading3"/>
        <w:keepNext/>
      </w:pPr>
      <w:r>
        <w:t xml:space="preserve">5.1  睡眠底噪（S1）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记录连续 ≥ 10 min 段的平均电流与折算日均功耗（µAh/天）；说明底噪构成（MCU/雷达休眠漏电/磁力计等）并与指标基线 T1 对照。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5.2  雷达脉冲（S2）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单脉冲能量/电荷与折算日均功耗（按 1 次/秒外推）。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5.3  磁力计周期检测（S3）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单次能量/电荷与折算日均功耗（按 1 次/8 秒外推）。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5.4  长周期唤醒/防死机扫描（S4）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单次能量/电荷与折算日均功耗（按配置周期外推）；说明是否含 LoRa 发射。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5.5  车辆占用保持状态（S6）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连续占用 ≥ 2 h 的日均功耗（区分驶入后稳态保持段与驶离事件）；车辆熆火停放，记录起止时间。</w:t>
      </w:r>
    </w:p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【填写说明】本节为必填项：高占用率车位寿命计算依赖本节数据加权。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5.6  车辆驶入事件（S5，常规网）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单次完整事件电荷（含检测判定与上报）。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5.7  车辆驶离事件（S7，常规网）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单次完整事件电荷。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5.8  周期上报（S8，常规网）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单次上报电荷；如以 1 h 档数据外推 4 h/24 h 档，说明外推依据。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3"/>
        <w:keepNext/>
      </w:pPr>
      <w:r>
        <w:t xml:space="preserve">5.9  事件功耗构成拆分（S10）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将典型事件窗口拆分为传感器判定阶段、LoRa 发射、RX1/RX2 接收窗，分列计量并给出占比：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2200"/>
        <w:gridCol w:w="2200"/>
        <w:gridCol w:w="24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判定阶段能量/占比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LoRa TX 能量/占比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RX1+RX2 能量/占比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pStyle w:val="Heading3"/>
        <w:keepNext/>
      </w:pPr>
      <w:r>
        <w:t xml:space="preserve">5.10  弱网事件（S9，SF12）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驶入/驶离/周期上报在弱网环境下的单次电荷与实测重传次数。</w:t>
      </w:r>
    </w:p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【填写说明】每个事件必须附网关侧 RSSI/SNR/DR 记录与重传次数对照（附录 B）；三台设备参数一致性核实记录不可缺省。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900"/>
        <w:gridCol w:w="1300"/>
        <w:gridCol w:w="1300"/>
        <w:gridCol w:w="1300"/>
        <w:gridCol w:w="1300"/>
        <w:gridCol w:w="13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最小值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平均值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最大值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标准差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波形图（每设备至少 1 张典型波形，标注设备号与事件序号）：【待填】</w:t>
      </w:r>
    </w:p>
    <w:p>
      <w:pPr>
        <w:pStyle w:val="Heading1"/>
        <w:keepNext/>
      </w:pPr>
      <w:r>
        <w:t xml:space="preserve">6  数据完整性与偏差</w:t>
      </w:r>
    </w:p>
    <w:p>
      <w:pPr>
        <w:pStyle w:val="Heading2"/>
        <w:keepNext/>
      </w:pPr>
      <w:r>
        <w:t xml:space="preserve">6.1  数据自检记录（复核人填写并签认）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400"/>
        <w:gridCol w:w="1600"/>
        <w:gridCol w:w="4026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自检项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说明/佐证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设备号-章节-数据文件对应检查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通过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跨设备原始数据重复性检查（无雷同数据组）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通过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计算复核（均值/换算/括号/串段）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通过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单位检查（µA vs µAh 无混用）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通过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数据文件命名与清单一致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通过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pStyle w:val="Heading2"/>
        <w:keepNext/>
      </w:pPr>
      <w:r>
        <w:t xml:space="preserve">6.2  异常与偏差表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2600"/>
        <w:gridCol w:w="2800"/>
        <w:gridCol w:w="20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现象/偏差项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排查过程与证据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结论/影响评估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【填写说明】单机事件耗电偏离三台均值 &gt;30% 时必须按方案 9.1 完成射频一致性排查后方可归因；排查过程与证据记录于本表。</w:t>
      </w:r>
    </w:p>
    <w:p>
      <w:pPr>
        <w:pStyle w:val="Heading1"/>
        <w:keepNext/>
      </w:pPr>
      <w:r>
        <w:t xml:space="preserve">7  电池模型与寿命计算</w:t>
      </w:r>
    </w:p>
    <w:p>
      <w:pPr>
        <w:pStyle w:val="Heading2"/>
        <w:keepNext/>
      </w:pPr>
      <w:r>
        <w:t xml:space="preserve">7.1  有效容量推导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C_eff = C_nom × k_temp × k_life = 【待填】 mAh × 【待填】 × 【待填】 = 【待填】 mAh。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推导要素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内容与依据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自放电-温度曲线引用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【待填】（规格书图号/页码）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假设温度剖面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【待填】（表面贴装/嵌入取地表温度；注明数据来源）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存储期折减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低温容量交付比（-20 ℃）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【待填】（规格书或实测）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完整计算式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【填写说明】折减系数未附推导过程时，第 7.3 节寿命结论不得作为判定依据。</w:t>
      </w:r>
    </w:p>
    <w:p>
      <w:pPr>
        <w:pStyle w:val="Heading2"/>
        <w:keepNext/>
      </w:pPr>
      <w:r>
        <w:t xml:space="preserve">7.2  日均功耗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400"/>
        <w:gridCol w:w="1700"/>
        <w:gridCol w:w="3926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分项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数值（mAh/天）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计算说明（单次值 × 次数）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睡眠底噪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雷达脉冲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磁力计检测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长周期唤醒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占用状态（占空比 【待填】%）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停车事件（驶入+驶离）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周期上报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</w:pPr>
      <w:r>
        <w:t xml:space="preserve">7.3  寿命结果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2400"/>
        <w:gridCol w:w="2200"/>
        <w:gridCol w:w="22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场景（频次/周期/网络）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日均功耗（mAh/天）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预计寿命（年）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计算示例（任选一格展示完整代入过程）：【待填】</w:t>
      </w:r>
    </w:p>
    <w:p>
      <w:pPr>
        <w:pStyle w:val="Heading1"/>
        <w:keepNext/>
      </w:pPr>
      <w:r>
        <w:t xml:space="preserve">8  符合性结论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900"/>
        <w:gridCol w:w="2500"/>
        <w:gridCol w:w="1500"/>
        <w:gridCol w:w="2500"/>
        <w:gridCol w:w="16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限值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实测值（三台/范围）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□ Pass  □ Fail</w:t>
            </w:r>
          </w:p>
        </w:tc>
      </w:tr>
    </w:tbl>
    <w:p>
      <w:pPr>
        <w:pStyle w:val="Heading1"/>
        <w:keepNext/>
      </w:pPr>
      <w:r>
        <w:t xml:space="preserve">9  结论与建议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【待填】（仅陈述技术结论与后续技术行动；质保/商务条款不在本报告范围，另行输出）。</w:t>
      </w:r>
    </w:p>
    <w:p>
      <w:pPr>
        <w:pStyle w:val="Heading1"/>
        <w:keepNext/>
      </w:pPr>
      <w:r>
        <w:t xml:space="preserve">附录 A  原始数据文件清单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200"/>
        <w:gridCol w:w="1600"/>
        <w:gridCol w:w="1400"/>
        <w:gridCol w:w="2826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设备 EUI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大小/导出时间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p>
      <w:pPr>
        <w:pStyle w:val="Heading1"/>
        <w:keepNext/>
      </w:pPr>
      <w:r>
        <w:t xml:space="preserve">附录 B  网关/NS 日志摘录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摘录内容：每台设备在各环境下的 RSSI/SNR/DR 分布、弱网事件重传次数对照表：【待填】</w:t>
      </w:r>
    </w:p>
    <w:p>
      <w:pPr>
        <w:pStyle w:val="Heading1"/>
        <w:keepNext/>
      </w:pPr>
      <w:r>
        <w:t xml:space="preserve">附录 C  现场照片索引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4200"/>
        <w:gridCol w:w="32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照片序号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内容说明（环境/设备/仪器连接）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拍摄日期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【待填】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7F7F7F"/>
        <w:sz w:val="18"/>
        <w:szCs w:val="18"/>
      </w:rPr>
      <w:t xml:space="preserve">第 </w:t>
    </w:r>
    <w:r>
      <w:rPr>
        <w:rFonts w:ascii="Times New Roman" w:eastAsia="SimSun" w:hAnsi="Times New Roman"/>
        <w:color w:val="7F7F7F"/>
        <w:sz w:val="18"/>
        <w:szCs w:val="18"/>
      </w:rPr>
      <w:fldChar w:fldCharType="begin"/>
    </w:r>
    <w:r>
      <w:rPr>
        <w:rFonts w:ascii="Times New Roman" w:eastAsia="SimSun" w:hAnsi="Times New Roman"/>
        <w:color w:val="7F7F7F"/>
        <w:sz w:val="18"/>
        <w:szCs w:val="18"/>
      </w:rPr>
      <w:instrText xml:space="preserve">PAGE</w:instrText>
    </w:r>
    <w:r>
      <w:rPr>
        <w:rFonts w:ascii="Times New Roman" w:eastAsia="SimSun" w:hAnsi="Times New Roman"/>
        <w:color w:val="7F7F7F"/>
        <w:sz w:val="18"/>
        <w:szCs w:val="18"/>
      </w:rPr>
      <w:fldChar w:fldCharType="separate"/>
    </w:r>
    <w:r>
      <w:rPr>
        <w:rFonts w:ascii="Times New Roman" w:eastAsia="SimSun" w:hAnsi="Times New Roman"/>
        <w:color w:val="7F7F7F"/>
        <w:sz w:val="18"/>
        <w:szCs w:val="18"/>
      </w:rPr>
      <w:fldChar w:fldCharType="end"/>
    </w:r>
    <w:r>
      <w:rPr>
        <w:rFonts w:ascii="Times New Roman" w:eastAsia="SimSun" w:hAnsi="Times New Roman"/>
        <w:color w:val="7F7F7F"/>
        <w:sz w:val="18"/>
        <w:szCs w:val="18"/>
      </w:rPr>
      <w:t xml:space="preserve"> 页 / 共 </w:t>
    </w:r>
    <w:r>
      <w:rPr>
        <w:rFonts w:ascii="Times New Roman" w:eastAsia="SimSun" w:hAnsi="Times New Roman"/>
        <w:color w:val="7F7F7F"/>
        <w:sz w:val="18"/>
        <w:szCs w:val="18"/>
      </w:rPr>
      <w:fldChar w:fldCharType="begin"/>
    </w:r>
    <w:r>
      <w:rPr>
        <w:rFonts w:ascii="Times New Roman" w:eastAsia="SimSun" w:hAnsi="Times New Roman"/>
        <w:color w:val="7F7F7F"/>
        <w:sz w:val="18"/>
        <w:szCs w:val="18"/>
      </w:rPr>
      <w:instrText xml:space="preserve">NUMPAGES</w:instrText>
    </w:r>
    <w:r>
      <w:rPr>
        <w:rFonts w:ascii="Times New Roman" w:eastAsia="SimSun" w:hAnsi="Times New Roman"/>
        <w:color w:val="7F7F7F"/>
        <w:sz w:val="18"/>
        <w:szCs w:val="18"/>
      </w:rPr>
      <w:fldChar w:fldCharType="separate"/>
    </w:r>
    <w:r>
      <w:rPr>
        <w:rFonts w:ascii="Times New Roman" w:eastAsia="SimSun" w:hAnsi="Times New Roman"/>
        <w:color w:val="7F7F7F"/>
        <w:sz w:val="18"/>
        <w:szCs w:val="18"/>
      </w:rPr>
      <w:fldChar w:fldCharType="end"/>
    </w:r>
    <w:r>
      <w:rPr>
        <w:rFonts w:ascii="Times New Roman" w:eastAsia="SimSun" w:hAnsi="Times New Roman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spacing w:after="0"/>
      <w:jc w:val="right"/>
    </w:pPr>
    <w:r>
      <w:rPr>
        <w:rFonts w:ascii="Times New Roman" w:eastAsia="SimSun" w:hAnsi="Times New Roman"/>
        <w:color w:val="7F7F7F"/>
        <w:sz w:val="16"/>
        <w:szCs w:val="16"/>
      </w:rPr>
      <w:t xml:space="preserve">地磁停车传感器功耗测试报告模板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 w:before="240"/>
      <w:jc w:val="center"/>
    </w:pPr>
    <w:rPr>
      <w:rFonts w:ascii="Arial" w:eastAsia="SimHei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SimHei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SimHei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eastAsia="SimHei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2026-10-27T03:57:48.870Z</dcterms:created>
  <dcterms:modified xsi:type="dcterms:W3CDTF">2026-10-27T03:57:48.870Z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