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地磁停车传感器功耗测试方案</w:t>
      </w:r>
    </w:p>
    <w:p>
      <w:pPr>
        <w:spacing w:after="300"/>
        <w:jc w:val="center"/>
      </w:pPr>
      <w:r>
        <w:rPr>
          <w:rFonts w:ascii="Times New Roman" w:eastAsia="SimSun" w:hAnsi="Times New Roman"/>
          <w:color w:val="595959"/>
          <w:sz w:val="22"/>
          <w:szCs w:val="22"/>
        </w:rPr>
        <w:t xml:space="preserve">Power Consumption Test Plan for Geomagnetic Parking Sensor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200"/>
        <w:gridCol w:w="2313"/>
        <w:gridCol w:w="2200"/>
        <w:gridCol w:w="2313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密级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【待填】（例：内部）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2026-10-27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300"/>
        <w:gridCol w:w="1900"/>
        <w:gridCol w:w="5826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编制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审核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批准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</w:tbl>
    <w:p>
      <w:pPr>
        <w:spacing w:after="40"/>
      </w:pPr>
      <w:r>
        <w:rPr>
          <w:rFonts w:ascii="Times New Roman" w:eastAsia="SimSun" w:hAnsi="Times New Roman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200"/>
        <w:gridCol w:w="1600"/>
        <w:gridCol w:w="5026"/>
        <w:gridCol w:w="120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修订人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2026-10-27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首次发布：基于《MPS-100 停车传感器功耗测试报告》blu版 1025）评审意见制定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【填写说明】本方案所有【待填】项在评审通过前由研发负责人补齐；限值类待填项未补齐前不得开展判定性测试。</w:t>
      </w:r>
    </w:p>
    <w:p>
      <w:pPr>
        <w:pStyle w:val="Heading1"/>
        <w:keepNext/>
      </w:pPr>
      <w:r>
        <w:t xml:space="preserve">1  目的与适用范围</w:t>
      </w:r>
    </w:p>
    <w:p>
      <w:pPr>
        <w:pStyle w:val="Heading2"/>
        <w:keepNext/>
      </w:pPr>
      <w:r>
        <w:t xml:space="preserve">1.1  目的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规定地磁（地磁+微波雷达复合检测）停车传感器整机功耗测试的测试项、测试条件、方法、数据处理、电池寿命计算与判定准则，确保测试结果可复现、可追溯、可审计，为产品功耗设计验证与电池寿命承诺提供依据。</w:t>
      </w:r>
    </w:p>
    <w:p>
      <w:pPr>
        <w:pStyle w:val="Heading2"/>
        <w:keepNext/>
      </w:pPr>
      <w:r>
        <w:t xml:space="preserve">1.2  适用范围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适用于公司地磁停车传感器产品线（首个适用型号 MPS-100，硬件 DC-10 及后续版本）研制与量产阶段的功耗测试；采用一次锂电（如锂亚硫酰氯）的同类低功耗设备可参照执行。</w:t>
      </w:r>
    </w:p>
    <w:p>
      <w:pPr>
        <w:pStyle w:val="Heading2"/>
        <w:keepNext/>
      </w:pPr>
      <w:r>
        <w:t xml:space="preserve">1.3  引用文件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4600"/>
        <w:gridCol w:w="2600"/>
        <w:gridCol w:w="1826"/>
      </w:tblGrid>
      <w:tr>
        <w:trPr>
          <w:cantSplit/>
          <w:tblHeader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文件名称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产品规格书（含功耗指标限值）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电池规格书（含自放电-温度曲线、低温容量曲线）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客户技术协议（寿命与质保条款）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LoRaWAN Regional Parameters（RP002 及以上）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《测试报告管理规范》/公司文档管理制度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</w:tbl>
    <w:p>
      <w:pPr>
        <w:pStyle w:val="Heading2"/>
        <w:keepNext/>
      </w:pPr>
      <w:r>
        <w:t xml:space="preserve">1.4  术语与缩略语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DUT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被测设备（Device Under Test）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睡眠底噪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无任何事件、无周期性动作时设备的持续平均电流（含各模块休眠漏电）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占用状态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车辆停放在 DUT 上方并保持停放的持续状态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DR / SF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LoRaWAN 数据速率 / 扩频因子（SF12 为最慢速率）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NbTrans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单上报分组重复发送次数（MAC 层参数）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确认上报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Confirmed Uplink，等待下行 ACK，未收到则按重传策略重发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RX1/RX2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第一/第二接收窗口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事件功耗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单次完整事件（驶入/驶离/上报等）的能量或电荷消耗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有效容量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标称容量经环境折减后可用于寿命计算的容量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地表温度剖面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部署点地表/路面温度随时间分布，区别于气象气温</w:t>
            </w:r>
          </w:p>
        </w:tc>
      </w:tr>
    </w:tbl>
    <w:p>
      <w:pPr>
        <w:pStyle w:val="Heading1"/>
        <w:keepNext/>
      </w:pPr>
      <w:r>
        <w:t xml:space="preserve">2  测试项与判定准则</w:t>
      </w:r>
    </w:p>
    <w:p>
      <w:pPr>
        <w:pStyle w:val="Heading2"/>
        <w:keepNext/>
      </w:pPr>
      <w:r>
        <w:t xml:space="preserve">2.1  设计指标基线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测试前必须建立指标基线表并经研发负责人签认，每项限值均须标注规格书条款号：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700"/>
        <w:gridCol w:w="3400"/>
        <w:gridCol w:w="2200"/>
        <w:gridCol w:w="1700"/>
        <w:gridCol w:w="1026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限值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指标出处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睡眠底噪平均电流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≤ 【待填】 µA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【待填】（规格书条款）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实测≤限值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雷达脉冲单次耗电（1 次/秒）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≤ 【待填】 µAh/次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实测≤限值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磁力计检测单次耗电（1 次/8 秒）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≤ 【待填】 µAh/次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实测≤限值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长周期唤醒/防死机扫描单次耗电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≤ 【待填】 µAh/次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实测≤限值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占用状态日均功耗（车辆停放期）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≤ 【待填】 mAh/天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实测≤限值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T6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驶入/驶离/周期上报单次耗电（常规网）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≤ 【待填】 µAh/次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实测≤限值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T7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弱网（SF12 重传）事件单次耗电上限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≤ 【待填】 µAh/次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实测≤限值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T8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综合电池寿命（指定最严苛场景）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≥ 5 年（默认，以客户技术协议为准）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计算值≥限值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【填写说明】限值禁止无出处设定；规格书未定义的项，测试前由研发负责人书面确认并随本方案评审，不得事后设定。</w:t>
      </w:r>
    </w:p>
    <w:p>
      <w:pPr>
        <w:pStyle w:val="Heading2"/>
        <w:keepNext/>
      </w:pPr>
      <w:r>
        <w:t xml:space="preserve">2.2  判定规则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每项按三台样机实测值与限值逐项判定 Pass/Fail；任一项 Fail 则整体结论为“不通过”，异常项按第 9 章排查后复测；寿命按第 8 章方法计算，并对场景矩阵中最严苛组合判定。</w:t>
      </w:r>
    </w:p>
    <w:p>
      <w:pPr>
        <w:pStyle w:val="Heading1"/>
        <w:keepNext/>
      </w:pPr>
      <w:r>
        <w:t xml:space="preserve">3  被测设备（DUT）</w:t>
      </w:r>
    </w:p>
    <w:p>
      <w:pPr>
        <w:pStyle w:val="Heading2"/>
        <w:keepNext/>
      </w:pPr>
      <w:r>
        <w:t xml:space="preserve">3.1  样机要求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同批次样机≥ 3 台，测试前完成磁力计/雷达校准并记录校准结果；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逐台登记设备 EUI、硬件版本、软件版本；测试期间不得更改固件参数，如需更改则该场景组重新开始；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样机数量不足或非同批次时，须在报告偏差表中说明并评估对结论的影响。</w:t>
      </w:r>
    </w:p>
    <w:p>
      <w:pPr>
        <w:pStyle w:val="Heading2"/>
        <w:keepNext/>
      </w:pPr>
      <w:r>
        <w:t xml:space="preserve">3.2  电池信息（必填）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型号 / 化学体系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【待填】（如 ER34615 锂亚硫酰氯）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单体配置（单体/并联/串联）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标称容量 / 标称电压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 mAh / 【待填】 V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规格书版本及关键页引用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【待填】（自放电-温度曲线、低温容量曲线页码）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【填写说明】电池参数是寿命计算的核心输入，任一字段缺失不得开始测试。</w:t>
      </w:r>
    </w:p>
    <w:p>
      <w:pPr>
        <w:pStyle w:val="Heading2"/>
        <w:keepNext/>
      </w:pPr>
      <w:r>
        <w:t xml:space="preserve">3.3  安装方式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记录安装方式：□ 表面贴装  □ 嵌入沥青  □ 地埋；记录基面材质与安装照片。安装方式决定第 8 章温度剖面的选取（贴地/嵌入安装应按地表温度剖面评估，而非气温）。</w:t>
      </w:r>
    </w:p>
    <w:p>
      <w:pPr>
        <w:pStyle w:val="Heading1"/>
        <w:keepNext/>
      </w:pPr>
      <w:r>
        <w:t xml:space="preserve">4  测试设备与仪器</w:t>
      </w:r>
    </w:p>
    <w:p>
      <w:pPr>
        <w:pStyle w:val="Heading2"/>
        <w:keepNext/>
      </w:pPr>
      <w:r>
        <w:t xml:space="preserve">4.1  功耗分析仪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量程覆盖 100 nA～6 A、分辨率优于 1 µA、采样率≥ 100 kHz；计量校准证书必须在有效期内，记录证书编号、校准机构与有效期至报告仪器清单表。</w:t>
      </w:r>
    </w:p>
    <w:p>
      <w:pPr>
        <w:pStyle w:val="Heading2"/>
        <w:keepNext/>
      </w:pPr>
      <w:r>
        <w:t xml:space="preserve">4.2  供电要求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恒压源输出电压设定为电池标称电压（默认 3.60 V，允差 ±0.02 V），全部场景统一并写入报告；能量→电荷换算一律使用该设定值；测试期间禁止更改。若需评估不同电压点的影响，另行增设专项并在报告中单独列示。</w:t>
      </w:r>
    </w:p>
    <w:p>
      <w:pPr>
        <w:pStyle w:val="Heading2"/>
        <w:keepNext/>
      </w:pPr>
      <w:r>
        <w:t xml:space="preserve">4.3  辅助设备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网关：记录型号/序列号/架设位置；NS 服务器可访问权限（用于导出上行日志）；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温度记录仪：记录每个测试日环境温度（场地实况允许时同步记录地表温度）；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测试车辆：记录型号与底盘材质（铁质底盘）；驳入/驶离操作人固定。</w:t>
      </w:r>
    </w:p>
    <w:p>
      <w:pPr>
        <w:pStyle w:val="Heading2"/>
        <w:keepNext/>
      </w:pPr>
      <w:r>
        <w:t xml:space="preserve">4.4  现场记录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每个网络环境现场照片≥ 2 张（含 DUT 安装与仪器连接状态），随原始数据一并归档。</w:t>
      </w:r>
    </w:p>
    <w:p>
      <w:pPr>
        <w:pStyle w:val="Heading1"/>
        <w:keepNext/>
      </w:pPr>
      <w:r>
        <w:t xml:space="preserve">5  网络条件与参数控制</w:t>
      </w:r>
    </w:p>
    <w:p>
      <w:pPr>
        <w:pStyle w:val="Heading2"/>
        <w:keepNext/>
      </w:pPr>
      <w:r>
        <w:t xml:space="preserve">5.1  网络环境定义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1600"/>
        <w:gridCol w:w="3600"/>
        <w:gridCol w:w="382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环境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布置条件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验收标准（以网关日志实测为准）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A 常规网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网关视距 ≤ 15 m，无遮挡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RSSI ≥ -80 dBm，且实际 DR 对应 SF ≤ SF9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 弱网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【待填】（如 500 m + 障碍物遮挡/衰减）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实际工作于 SF12，记录 RSSI 区间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【填写说明】环境与设备、章节的对应关系必须在报告中明确登记；三台设备在同一环境同一时段测试。</w:t>
      </w:r>
    </w:p>
    <w:p>
      <w:pPr>
        <w:pStyle w:val="Heading2"/>
        <w:keepNext/>
      </w:pPr>
      <w:r>
        <w:t xml:space="preserve">5.2  参数固定与登记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确认/非确认上报、NbTrans、发射功率、ADR 开关、重传上限——测试前从固件配置源码或 AT 指令导出并登记于报告参数表；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A/B 两环境除 SF 外其余参数必须一致，否则弱网对比无效；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“重传”场景必须基于确认上报并记录实测重传次数；非确认上报不存在链路层重传，不得宣称“重传功耗”；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若依赖 ADR，记录每台设备 ADR 实际落点 DR，并确认三台落点一致性。</w:t>
      </w:r>
    </w:p>
    <w:p>
      <w:pPr>
        <w:pStyle w:val="Heading2"/>
        <w:keepNext/>
      </w:pPr>
      <w:r>
        <w:t xml:space="preserve">5.3  网关侧记录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每次上报的 RSSI/SNR/DR/重传次数由 NS 或网关日志导出，与功耗原始数据同编号归档；弱网章节的每个事件必须能在日志中找到对应记录。</w:t>
      </w:r>
    </w:p>
    <w:p>
      <w:pPr>
        <w:pStyle w:val="Heading1"/>
        <w:keepNext/>
      </w:pPr>
      <w:r>
        <w:t xml:space="preserve">6  测试场景与样本量</w:t>
      </w:r>
    </w:p>
    <w:p>
      <w:pPr>
        <w:pStyle w:val="Heading2"/>
        <w:keepNext/>
      </w:pPr>
      <w:r>
        <w:t xml:space="preserve">6.1  场景矩阵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800"/>
        <w:gridCol w:w="3400"/>
        <w:gridCol w:w="700"/>
        <w:gridCol w:w="2600"/>
        <w:gridCol w:w="1526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环境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触发/捕获方式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最少样本量/设备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睡眠底噪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连续捕获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≥ 10 min × 1 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雷达脉冲（1 次/秒）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逐脉冲分段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 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磁力计检测（1 次/8 秒）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逐次分段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10 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长周期唤醒/防死机扫描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逐次分段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5 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车辆驶入事件（检测+上报）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完整事件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5 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车辆占用保持状态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连续占用 ≥ 2 h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2 段（含驶入/保持/驶离全过程）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车辆驶离事件（检测+上报）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完整事件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5 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周期上报（1 h 档）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逐次分段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5 次（4 h/24 h 档可引用同数据外推，须说明依据）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弱网事件（驶入/驶离/周期上报）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完整事件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各 5 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S10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事件功耗构成拆分（判定/TX/RX）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A/B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分段计量</w:t>
            </w:r>
          </w:p>
        </w:tc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3 次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【填写说明】S6 占用状态为必测项：车辆停放期间检测策略可能变化，高占用率车位的日均功耗与寿命结论必须以实测数据为准，不得用空闲数据替代。</w:t>
      </w:r>
    </w:p>
    <w:p>
      <w:pPr>
        <w:pStyle w:val="Heading2"/>
        <w:keepNext/>
      </w:pPr>
      <w:r>
        <w:t xml:space="preserve">6.2  统计要求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每项报告 n、最小、平均、最大、标准差；离群值剔除须预先声明准则（如 Grubbs α=0.05）并保留被剔除记录；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禁止以截图人工读数替代原始文件数据；截图仅用于报告展示。</w:t>
      </w:r>
    </w:p>
    <w:p>
      <w:pPr>
        <w:pStyle w:val="Heading2"/>
        <w:keepNext/>
      </w:pPr>
      <w:r>
        <w:t xml:space="preserve">6.3  操作规范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车辆驶入/驶离路径与速度固定（垂直压过 DUT，5～10 km/h）；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占用测试车辆熆火停放，记录起止时间；事件之间间隔 ≥ 2 min 以回到稳态。</w:t>
      </w:r>
    </w:p>
    <w:p>
      <w:pPr>
        <w:pStyle w:val="Heading1"/>
        <w:keepNext/>
      </w:pPr>
      <w:r>
        <w:t xml:space="preserve">7  测试方法与数据处理</w:t>
      </w:r>
    </w:p>
    <w:p>
      <w:pPr>
        <w:pStyle w:val="Heading2"/>
        <w:keepNext/>
      </w:pPr>
      <w:r>
        <w:t xml:space="preserve">7.1  数据导出与命名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每场景导出仪器原始数据文件（CSV/工程文件），命名规则：日期_设备EUI_场景编号_序号（如 20261103_00956906000AF026_S5_03.csv）；原始文件清单辽入报告附录 A。</w:t>
      </w:r>
    </w:p>
    <w:p>
      <w:pPr>
        <w:pStyle w:val="Heading2"/>
        <w:keepNext/>
      </w:pPr>
      <w:r>
        <w:t xml:space="preserve">7.2  换算与有效位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电荷（µAh）= 能量（µWh）/ 供电电压设定值（V）；单位统一使用 µA（电流）/µAh（电荷），严禁混用；保留 3 位有效数字；电流、时间、能量分列记录。</w:t>
      </w:r>
    </w:p>
    <w:p>
      <w:pPr>
        <w:pStyle w:val="Heading2"/>
        <w:keepNext/>
      </w:pPr>
      <w:r>
        <w:t xml:space="preserve">7.3  数据完整性三查（复核人执行并签认）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对应性检查：章节标题设备号、正文设备号、原始数据文件 EUI 三者一致；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重复性检查：不同设备的原始数据组若出现完全相同数值，立即回查仪器导出文件，严禁复制粘贴数据行；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计算复核：均值/求和/单位换算逐项复核，重点关注 µA 与 µAh 混用、括号配对、跨段复制错误。</w:t>
      </w:r>
    </w:p>
    <w:p>
      <w:pPr>
        <w:pStyle w:val="Heading2"/>
        <w:keepNext/>
      </w:pPr>
      <w:r>
        <w:t xml:space="preserve">7.4  报告编制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使用《地磁停车传感器功耗测试报告模板》编制；章节编号连续规范；正文与图表中的设备号一致；报告仅包含技术结论，质保/商务条款另行输出。</w:t>
      </w:r>
    </w:p>
    <w:p>
      <w:pPr>
        <w:pStyle w:val="Heading1"/>
        <w:keepNext/>
      </w:pPr>
      <w:r>
        <w:t xml:space="preserve">8  电池模型与寿命计算</w:t>
      </w:r>
    </w:p>
    <w:p>
      <w:pPr>
        <w:pStyle w:val="Heading2"/>
        <w:keepNext/>
      </w:pPr>
      <w:r>
        <w:t xml:space="preserve">8.1  有效容量推导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有效容量 C_eff = C_nom × k_temp × k_life。推导必须包含：电池规格书自放电-温度曲线引用（图号/页码）、部署地气候数据来源、假设温度剖面（表面贴装/嵌入安装取地表温度剖面，沥青路面夏季地表可达 60～70 ℃，不得以气温替代）、存储期折减、完整计算式与结果；同时给出 -20 ℃ 低温容量交付比（规格书数据或实测）。折减系数未附推导过程的寿命结论无效。</w:t>
      </w:r>
    </w:p>
    <w:p>
      <w:pPr>
        <w:pStyle w:val="Heading2"/>
        <w:keepNext/>
      </w:pPr>
      <w:r>
        <w:t xml:space="preserve">8.2  日均功耗模型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P_day = Σ（各状态单次耗电 × 日次数）。占用状态按目标占空比加权（默认 50%，可按项目实际停车率调整并说明依据）；事件项 = 单次耗电 × 日事件次数。</w:t>
      </w:r>
    </w:p>
    <w:p>
      <w:pPr>
        <w:pStyle w:val="Heading2"/>
        <w:keepNext/>
      </w:pPr>
      <w:r>
        <w:t xml:space="preserve">8.3  寿命计算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寿命（年）= C_eff / P_day / 365。输出场景矩阵：停车频次（10/30 次/天）× 上报周期（1 h/4 h/24 h）× 网络（A/B）；报告中至少一格展示完整代入过程。</w:t>
      </w:r>
    </w:p>
    <w:p>
      <w:pPr>
        <w:pStyle w:val="Heading1"/>
        <w:keepNext/>
      </w:pPr>
      <w:r>
        <w:t xml:space="preserve">9  异常与偏差处理</w:t>
      </w:r>
    </w:p>
    <w:p>
      <w:pPr>
        <w:pStyle w:val="Heading2"/>
        <w:keepNext/>
      </w:pPr>
      <w:r>
        <w:t xml:space="preserve">9.1  单机异常处理流程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任一设备任一事件项偏离三台均值超过 30% 时：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核对网关日志（RSSI/SNR/DR/重传次数），确认三台设备环境与参数一致；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开展射频一致性排查：传导功率、天线匹配/驻波实测、组装工艺检查；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归因结论必须附实测数据；排查完成前不得下“设计固有劣势”类结论，也不得以商务条款替代排查；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SimSun" w:hAnsi="Times New Roman"/>
          <w:sz w:val="24"/>
          <w:szCs w:val="24"/>
        </w:rPr>
        <w:t xml:space="preserve">样本量 n=1 时不得将个体差异推广为批次/设计差异，应增加样本或单独立项跟踪。</w:t>
      </w:r>
    </w:p>
    <w:p>
      <w:pPr>
        <w:pStyle w:val="Heading2"/>
        <w:keepNext/>
      </w:pPr>
      <w:r>
        <w:t xml:space="preserve">9.2  偏差记录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任何未按本方案执行的项登记于报告偏差表（项目/原因/影响评估/批准人）。</w:t>
      </w:r>
    </w:p>
    <w:p>
      <w:pPr>
        <w:pStyle w:val="Heading1"/>
        <w:keepNext/>
      </w:pPr>
      <w:r>
        <w:t xml:space="preserve">10  职责与签署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2200"/>
        <w:gridCol w:w="5026"/>
        <w:gridCol w:w="18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签认要求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测试执行人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按本方案执行；保障原始数据完整性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报告签名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数据复核人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独立第二人；执行 7.3 三查与计算复核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报告签名（必设）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审核人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技术审核：指标判定、异常处置、结论准确性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报告签名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批准人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批准发布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报告签名</w:t>
            </w:r>
          </w:p>
        </w:tc>
      </w:tr>
    </w:tbl>
    <w:p>
      <w:pPr>
        <w:spacing w:after="140" w:before="40"/>
      </w:pPr>
      <w:r>
        <w:rPr>
          <w:rFonts w:ascii="Times New Roman" w:eastAsia="SimSun" w:hAnsi="Times New Roman"/>
          <w:i/>
          <w:iCs/>
          <w:color w:val="7F7F7F"/>
          <w:sz w:val="20"/>
          <w:szCs w:val="20"/>
        </w:rPr>
        <w:t xml:space="preserve">【填写说明】无独立数据复核人签认的报告无效，不得作为设计验证或寿命承诺依据。</w:t>
      </w:r>
    </w:p>
    <w:p>
      <w:pPr>
        <w:pStyle w:val="Heading1"/>
        <w:keepNext/>
      </w:pPr>
      <w:r>
        <w:t xml:space="preserve">11  记录与归档</w:t>
      </w:r>
    </w:p>
    <w:p>
      <w:pPr>
        <w:spacing w:after="100" w:line="320"/>
      </w:pPr>
      <w:r>
        <w:rPr>
          <w:rFonts w:ascii="Times New Roman" w:eastAsia="SimSun" w:hAnsi="Times New Roman"/>
          <w:sz w:val="24"/>
          <w:szCs w:val="24"/>
        </w:rPr>
        <w:t xml:space="preserve">原始数据文件、网关日志、现场照片、本方案、测试报告统一归档；保存期限与报告编号规则按公司文档管理制度执行【待填】。</w:t>
      </w:r>
    </w:p>
    <w:p>
      <w:r>
        <w:br w:type="page"/>
      </w:r>
    </w:p>
    <w:p>
      <w:pPr>
        <w:pStyle w:val="Heading1"/>
        <w:keepNext/>
      </w:pPr>
      <w:r>
        <w:t xml:space="preserve">附录 A  本方案关键要求与既往报告问题对照表</w:t>
      </w:r>
    </w:p>
    <w:p>
      <w:pPr>
        <w:spacing w:after="140" w:line="320"/>
      </w:pPr>
      <w:r>
        <w:rPr>
          <w:rFonts w:ascii="Times New Roman" w:eastAsia="SimSun" w:hAnsi="Times New Roman"/>
          <w:sz w:val="24"/>
          <w:szCs w:val="24"/>
        </w:rPr>
        <w:t xml:space="preserve">本附录记录本方案各项要求的成因（基于《MPS-100 停车传感器功耗测试报告》blu版 1025）评审发现），供执行与审核时追溯：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100"/>
          <w:bottom w:type="dxa" w:w="40"/>
          <w:right w:type="dxa" w:w="100"/>
        </w:tblCellMar>
      </w:tblPr>
      <w:tblGrid>
        <w:gridCol w:w="4700"/>
        <w:gridCol w:w="4326"/>
      </w:tblGrid>
      <w:tr>
        <w:trPr>
          <w:cantSplit/>
          <w:tblHeader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既往报告问题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val="clear"/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本方案对应条款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设计指标与 Pass/Fail 判据缺失，“&gt;5 年”无出处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§2.1 指标基线表（限值必须引用规格书条款）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电池信息与安装方式未记录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§3.2/§3.3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仪器无校准证书、供电电压设定未说明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§4.1/§4.2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环境-设备-章节对应关系与 RSSI/SNR 未记录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§5.1/§5.3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有效容量折减不可追溯（无曲线引用/温度剖面）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§8.1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占用状态功耗未测，寿命按空闲外推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§6.1 S6、§8.2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睡眠底噪量级偏高未与规格核对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§2.1 T1 强制对照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事件功耗构成未拆分、LoRa 参数未记录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§6.1 S10、§5.2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SF12 与重传机制未澄清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§5.2（非确认上报不得称重传）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跨设备数据雷同、计算错误、设备号误写、单位混用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§7.3 数据完整性三查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单机弱网功耗激增归因无证据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§9.1 射频排查流程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样本量 n=3 且无离散度报告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§6.2 统计要求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单人测试无独立复核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§10 复核人必设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商务/质保条款混入测试报告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§7.4 报告范围限定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7F7F7F"/>
        <w:sz w:val="18"/>
        <w:szCs w:val="18"/>
      </w:rPr>
      <w:t xml:space="preserve">第 </w:t>
    </w:r>
    <w:r>
      <w:rPr>
        <w:rFonts w:ascii="Times New Roman" w:eastAsia="SimSun" w:hAnsi="Times New Roman"/>
        <w:color w:val="7F7F7F"/>
        <w:sz w:val="18"/>
        <w:szCs w:val="18"/>
      </w:rPr>
      <w:fldChar w:fldCharType="begin"/>
    </w:r>
    <w:r>
      <w:rPr>
        <w:rFonts w:ascii="Times New Roman" w:eastAsia="SimSun" w:hAnsi="Times New Roman"/>
        <w:color w:val="7F7F7F"/>
        <w:sz w:val="18"/>
        <w:szCs w:val="18"/>
      </w:rPr>
      <w:instrText xml:space="preserve">PAGE</w:instrText>
    </w:r>
    <w:r>
      <w:rPr>
        <w:rFonts w:ascii="Times New Roman" w:eastAsia="SimSun" w:hAnsi="Times New Roman"/>
        <w:color w:val="7F7F7F"/>
        <w:sz w:val="18"/>
        <w:szCs w:val="18"/>
      </w:rPr>
      <w:fldChar w:fldCharType="separate"/>
    </w:r>
    <w:r>
      <w:rPr>
        <w:rFonts w:ascii="Times New Roman" w:eastAsia="SimSun" w:hAnsi="Times New Roman"/>
        <w:color w:val="7F7F7F"/>
        <w:sz w:val="18"/>
        <w:szCs w:val="18"/>
      </w:rPr>
      <w:fldChar w:fldCharType="end"/>
    </w:r>
    <w:r>
      <w:rPr>
        <w:rFonts w:ascii="Times New Roman" w:eastAsia="SimSun" w:hAnsi="Times New Roman"/>
        <w:color w:val="7F7F7F"/>
        <w:sz w:val="18"/>
        <w:szCs w:val="18"/>
      </w:rPr>
      <w:t xml:space="preserve"> 页 / 共 </w:t>
    </w:r>
    <w:r>
      <w:rPr>
        <w:rFonts w:ascii="Times New Roman" w:eastAsia="SimSun" w:hAnsi="Times New Roman"/>
        <w:color w:val="7F7F7F"/>
        <w:sz w:val="18"/>
        <w:szCs w:val="18"/>
      </w:rPr>
      <w:fldChar w:fldCharType="begin"/>
    </w:r>
    <w:r>
      <w:rPr>
        <w:rFonts w:ascii="Times New Roman" w:eastAsia="SimSun" w:hAnsi="Times New Roman"/>
        <w:color w:val="7F7F7F"/>
        <w:sz w:val="18"/>
        <w:szCs w:val="18"/>
      </w:rPr>
      <w:instrText xml:space="preserve">NUMPAGES</w:instrText>
    </w:r>
    <w:r>
      <w:rPr>
        <w:rFonts w:ascii="Times New Roman" w:eastAsia="SimSun" w:hAnsi="Times New Roman"/>
        <w:color w:val="7F7F7F"/>
        <w:sz w:val="18"/>
        <w:szCs w:val="18"/>
      </w:rPr>
      <w:fldChar w:fldCharType="separate"/>
    </w:r>
    <w:r>
      <w:rPr>
        <w:rFonts w:ascii="Times New Roman" w:eastAsia="SimSun" w:hAnsi="Times New Roman"/>
        <w:color w:val="7F7F7F"/>
        <w:sz w:val="18"/>
        <w:szCs w:val="18"/>
      </w:rPr>
      <w:fldChar w:fldCharType="end"/>
    </w:r>
    <w:r>
      <w:rPr>
        <w:rFonts w:ascii="Times New Roman" w:eastAsia="SimSun" w:hAnsi="Times New Roman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2"/>
      </w:pBdr>
      <w:spacing w:after="0"/>
      <w:jc w:val="right"/>
    </w:pPr>
    <w:r>
      <w:rPr>
        <w:rFonts w:ascii="Times New Roman" w:eastAsia="SimSun" w:hAnsi="Times New Roman"/>
        <w:color w:val="7F7F7F"/>
        <w:sz w:val="16"/>
        <w:szCs w:val="16"/>
      </w:rPr>
      <w:t xml:space="preserve">地磁停车传感器功耗测试方案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 w:before="240"/>
      <w:jc w:val="center"/>
    </w:pPr>
    <w:rPr>
      <w:rFonts w:ascii="Arial" w:eastAsia="SimHei" w:hAnsi="Arial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SimHei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eastAsia="SimHei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eastAsia="SimHei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2026-10-27T03:57:48.034Z</dcterms:created>
  <dcterms:modified xsi:type="dcterms:W3CDTF">2026-10-27T03:57:48.040Z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