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rial" w:cs="Arial" w:eastAsia="Arial" w:hAnsi="Arial"/>
          <w:b/>
          <w:bCs/>
          <w:color w:val="2563EB"/>
          <w:spacing w:val="60"/>
          <w:sz w:val="26"/>
          <w:szCs w:val="26"/>
        </w:rPr>
        <w:t xml:space="preserve">DISEASE2TARGET</w:t>
      </w:r>
    </w:p>
    <w:p>
      <w:pPr>
        <w:pBdr>
          <w:bottom w:val="single" w:color="2563EB" w:sz="6" w:space="6"/>
        </w:pBdr>
        <w:spacing w:after="40" w:before="0"/>
      </w:pPr>
      <w:r>
        <w:rPr>
          <w:rFonts w:ascii="Arial" w:cs="Arial" w:eastAsia="Arial" w:hAnsi="Arial"/>
          <w:color w:val="6B7280"/>
          <w:sz w:val="22"/>
          <w:szCs w:val="22"/>
        </w:rPr>
        <w:t xml:space="preserve">AI-Powered Drug Target Prioritization</w:t>
      </w:r>
    </w:p>
    <w:p>
      <w:pPr>
        <w:spacing w:after="120" w:before="420"/>
      </w:pPr>
      <w:r>
        <w:rPr>
          <w:rFonts w:ascii="Arial" w:cs="Arial" w:eastAsia="Arial" w:hAnsi="Arial"/>
          <w:b/>
          <w:bCs/>
          <w:color w:val="1F3A5F"/>
          <w:sz w:val="52"/>
          <w:szCs w:val="52"/>
        </w:rPr>
        <w:t xml:space="preserve">Data Provenance &amp; Audit</w:t>
      </w:r>
    </w:p>
    <w:p>
      <w:pPr>
        <w:spacing w:after="300"/>
      </w:pPr>
      <w:r>
        <w:rPr>
          <w:rFonts w:ascii="Arial" w:cs="Arial" w:eastAsia="Arial" w:hAnsi="Arial"/>
          <w:color w:val="374151"/>
          <w:sz w:val="28"/>
          <w:szCs w:val="28"/>
        </w:rPr>
        <w:t xml:space="preserve">How every stored value stays traceable and verifiable</w:t>
      </w:r>
    </w:p>
    <w:p>
      <w:pPr>
        <w:spacing w:after="80"/>
      </w:pPr>
      <w:r>
        <w:rPr>
          <w:rFonts w:ascii="Arial" w:cs="Arial" w:eastAsia="Arial" w:hAnsi="Arial"/>
          <w:i/>
          <w:iCs/>
          <w:color w:val="6B7280"/>
          <w:sz w:val="22"/>
          <w:szCs w:val="22"/>
        </w:rPr>
        <w:t xml:space="preserve">Sources, provenance fields, audit trail, and governance</w:t>
      </w:r>
    </w:p>
    <w:p>
      <w:pPr>
        <w:spacing w:after="40" w:before="2400"/>
      </w:pPr>
      <w:r>
        <w:rPr>
          <w:rFonts w:ascii="Arial" w:cs="Arial" w:eastAsia="Arial" w:hAnsi="Arial"/>
          <w:color w:val="6B7280"/>
          <w:sz w:val="20"/>
          <w:szCs w:val="20"/>
        </w:rPr>
        <w:t xml:space="preserve">Project owner: </w:t>
      </w:r>
      <w:r>
        <w:rPr>
          <w:rFonts w:ascii="Arial" w:cs="Arial" w:eastAsia="Arial" w:hAnsi="Arial"/>
          <w:color w:val="374151"/>
          <w:sz w:val="20"/>
          <w:szCs w:val="20"/>
        </w:rPr>
        <w:t xml:space="preserve">Nikhil Kurmachalam</w:t>
      </w:r>
    </w:p>
    <w:p>
      <w:pPr>
        <w:spacing w:after="40"/>
      </w:pPr>
      <w:r>
        <w:rPr>
          <w:rFonts w:ascii="Arial" w:cs="Arial" w:eastAsia="Arial" w:hAnsi="Arial"/>
          <w:color w:val="6B7280"/>
          <w:sz w:val="20"/>
          <w:szCs w:val="20"/>
        </w:rPr>
        <w:t xml:space="preserve">Demonstration disease: </w:t>
      </w:r>
      <w:r>
        <w:rPr>
          <w:rFonts w:ascii="Arial" w:cs="Arial" w:eastAsia="Arial" w:hAnsi="Arial"/>
          <w:color w:val="374151"/>
          <w:sz w:val="20"/>
          <w:szCs w:val="20"/>
        </w:rPr>
        <w:t xml:space="preserve">Pancreatic adenocarcinoma (EFO_0002618)</w:t>
      </w:r>
    </w:p>
    <w:p>
      <w:r>
        <w:rPr>
          <w:rFonts w:ascii="Arial" w:cs="Arial" w:eastAsia="Arial" w:hAnsi="Arial"/>
          <w:color w:val="6B7280"/>
          <w:sz w:val="20"/>
          <w:szCs w:val="20"/>
        </w:rPr>
        <w:t xml:space="preserve">Generated: </w:t>
      </w:r>
      <w:r>
        <w:rPr>
          <w:rFonts w:ascii="Arial" w:cs="Arial" w:eastAsia="Arial" w:hAnsi="Arial"/>
          <w:color w:val="374151"/>
          <w:sz w:val="20"/>
          <w:szCs w:val="20"/>
        </w:rPr>
        <w:t xml:space="preserve">2026-06-22  ·  grounded in repository source (file:line references throughout)</w:t>
      </w:r>
    </w:p>
    <w:p>
      <w:r>
        <w:br w:type="page"/>
      </w:r>
    </w:p>
    <w:p>
      <w:pPr>
        <w:pStyle w:val="Heading1"/>
      </w:pPr>
      <w:r>
        <w:rPr>
          <w:rFonts w:ascii="Arial" w:cs="Arial" w:eastAsia="Arial" w:hAnsi="Arial"/>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40" w:line="276"/>
      </w:pPr>
      <w:r>
        <w:rPr>
          <w:rFonts w:ascii="Arial" w:cs="Arial" w:eastAsia="Arial" w:hAnsi="Arial"/>
        </w:rPr>
        <w:t xml:space="preserve">This document describes how Disease2Target makes every stored value </w:t>
      </w:r>
      <w:r>
        <w:rPr>
          <w:rFonts w:ascii="Arial" w:cs="Arial" w:eastAsia="Arial" w:hAnsi="Arial"/>
          <w:b/>
          <w:bCs/>
        </w:rPr>
        <w:t xml:space="preserve">traceable</w:t>
      </w:r>
      <w:r>
        <w:rPr>
          <w:rFonts w:ascii="Arial" w:cs="Arial" w:eastAsia="Arial" w:hAnsi="Arial"/>
        </w:rPr>
        <w:t xml:space="preserve">: where each piece of evidence came from, when it was retrieved, what produced it, and whether a human has verified it. Traceability is a core requirement — the project's standard is that everything be evidence-backed and clearly documented — and the data model is built around it.</w:t>
      </w:r>
    </w:p>
    <w:tbl>
      <w:tblPr>
        <w:tblW w:type="dxa" w:w="9360"/>
        <w:tblBorders>
          <w:top w:val="none"/>
          <w:left w:val="single" w:color="2563EB" w:sz="18"/>
          <w:bottom w:val="none"/>
          <w:right w:val="none"/>
          <w:insideH w:val="none"/>
          <w:insideV w:val="single" w:color="auto" w:sz="4"/>
        </w:tblBorders>
      </w:tblPr>
      <w:tblGrid>
        <w:gridCol w:w="9360"/>
      </w:tblGrid>
      <w:tr>
        <w:tc>
          <w:tcPr>
            <w:tcW w:type="dxa" w:w="9360"/>
            <w:shd w:fill="EEF2F7" w:val="clear"/>
            <w:tcMar>
              <w:top w:type="dxa" w:w="120"/>
              <w:left w:type="dxa" w:w="200"/>
              <w:bottom w:type="dxa" w:w="120"/>
              <w:right w:type="dxa" w:w="160"/>
            </w:tcMar>
          </w:tcPr>
          <w:p>
            <w:pPr>
              <w:spacing w:after="60"/>
            </w:pPr>
            <w:r>
              <w:rPr>
                <w:rFonts w:ascii="Arial" w:cs="Arial" w:eastAsia="Arial" w:hAnsi="Arial"/>
                <w:b/>
                <w:bCs/>
                <w:color w:val="2563EB"/>
                <w:sz w:val="20"/>
                <w:szCs w:val="20"/>
              </w:rPr>
              <w:t xml:space="preserve">The provenance guarantee</w:t>
            </w:r>
          </w:p>
          <w:p>
            <w:pPr>
              <w:spacing w:after="140" w:line="276"/>
            </w:pPr>
            <w:r>
              <w:rPr>
                <w:rFonts w:ascii="Arial" w:cs="Arial" w:eastAsia="Arial" w:hAnsi="Arial"/>
              </w:rPr>
              <w:t xml:space="preserve">For every evidence item the store records its </w:t>
            </w:r>
            <w:r>
              <w:rPr>
                <w:rFonts w:ascii="Arial" w:cs="Arial" w:eastAsia="Arial" w:hAnsi="Arial"/>
                <w:b/>
                <w:bCs/>
              </w:rPr>
              <w:t xml:space="preserve">source</w:t>
            </w:r>
            <w:r>
              <w:rPr>
                <w:rFonts w:ascii="Arial" w:cs="Arial" w:eastAsia="Arial" w:hAnsi="Arial"/>
              </w:rPr>
              <w:t xml:space="preserve">, a </w:t>
            </w:r>
            <w:r>
              <w:rPr>
                <w:rFonts w:ascii="Arial" w:cs="Arial" w:eastAsia="Arial" w:hAnsi="Arial"/>
                <w:b/>
                <w:bCs/>
              </w:rPr>
              <w:t xml:space="preserve">source URL</w:t>
            </w:r>
            <w:r>
              <w:rPr>
                <w:rFonts w:ascii="Arial" w:cs="Arial" w:eastAsia="Arial" w:hAnsi="Arial"/>
              </w:rPr>
              <w:t xml:space="preserve">, a </w:t>
            </w:r>
            <w:r>
              <w:rPr>
                <w:rFonts w:ascii="Arial" w:cs="Arial" w:eastAsia="Arial" w:hAnsi="Arial"/>
                <w:b/>
                <w:bCs/>
              </w:rPr>
              <w:t xml:space="preserve">retrieval timestamp</w:t>
            </w:r>
            <w:r>
              <w:rPr>
                <w:rFonts w:ascii="Arial" w:cs="Arial" w:eastAsia="Arial" w:hAnsi="Arial"/>
              </w:rPr>
              <w:t xml:space="preserve">, the </w:t>
            </w:r>
            <w:r>
              <w:rPr>
                <w:rFonts w:ascii="Arial" w:cs="Arial" w:eastAsia="Arial" w:hAnsi="Arial"/>
                <w:b/>
                <w:bCs/>
              </w:rPr>
              <w:t xml:space="preserve">agent/app that produced it</w:t>
            </w:r>
            <w:r>
              <w:rPr>
                <w:rFonts w:ascii="Arial" w:cs="Arial" w:eastAsia="Arial" w:hAnsi="Arial"/>
              </w:rPr>
              <w:t xml:space="preserve">, and an </w:t>
            </w:r>
            <w:r>
              <w:rPr>
                <w:rFonts w:ascii="Arial" w:cs="Arial" w:eastAsia="Arial" w:hAnsi="Arial"/>
                <w:b/>
                <w:bCs/>
              </w:rPr>
              <w:t xml:space="preserve">audit status</w:t>
            </w:r>
            <w:r>
              <w:rPr>
                <w:rFonts w:ascii="Arial" w:cs="Arial" w:eastAsia="Arial" w:hAnsi="Arial"/>
              </w:rPr>
              <w:t xml:space="preserve">. Combined with an append-only audit log, this means any number in a ranking can be traced back to its origin and its verification state.</w:t>
            </w:r>
          </w:p>
        </w:tc>
      </w:tr>
    </w:tbl>
    <w:p>
      <w:pPr>
        <w:pStyle w:val="Heading1"/>
      </w:pPr>
      <w:r>
        <w:t xml:space="preserve">2. Data sources</w:t>
      </w:r>
    </w:p>
    <w:p>
      <w:pPr>
        <w:spacing w:after="140" w:line="276"/>
      </w:pPr>
      <w:r>
        <w:rPr>
          <w:rFonts w:ascii="Arial" w:cs="Arial" w:eastAsia="Arial" w:hAnsi="Arial"/>
        </w:rPr>
        <w:t xml:space="preserve">Disease2Target aggregates nine public sources. Each contributes a defined slice of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Source</w:t>
            </w:r>
          </w:p>
        </w:tc>
        <w:tc>
          <w:tcPr>
            <w:tcW w:type="dxa" w:w="436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Contributes</w:t>
            </w:r>
          </w:p>
        </w:tc>
        <w:tc>
          <w:tcPr>
            <w:tcW w:type="dxa" w:w="27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Evidence axis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Open Targets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Gene–disease association; G/E/T sub-scores; tractability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genetic / expression / target</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cBioPortal</w:t>
            </w:r>
          </w:p>
        </w:tc>
        <w:tc>
          <w:tcPr>
            <w:tcW w:type="dxa" w:w="43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Somatic mutation frequency, variants, mutated samples</w:t>
            </w:r>
          </w:p>
        </w:tc>
        <w:tc>
          <w:tcPr>
            <w:tcW w:type="dxa" w:w="27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mutation</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ChEMBL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Druggability, modalities, best compound, max phase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druggability</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ClinicalTrials.gov</w:t>
            </w:r>
          </w:p>
        </w:tc>
        <w:tc>
          <w:tcPr>
            <w:tcW w:type="dxa" w:w="43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Trial counts, phase breakdown, drugs, conditions</w:t>
            </w:r>
          </w:p>
        </w:tc>
        <w:tc>
          <w:tcPr>
            <w:tcW w:type="dxa" w:w="27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clinical</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PubMed / PubTator3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Gene-mention mining, paper counts, velocity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literature</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Europe PMC</w:t>
            </w:r>
          </w:p>
        </w:tc>
        <w:tc>
          <w:tcPr>
            <w:tcW w:type="dxa" w:w="43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Publication velocity, top papers</w:t>
            </w:r>
          </w:p>
        </w:tc>
        <w:tc>
          <w:tcPr>
            <w:tcW w:type="dxa" w:w="27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literature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Protein Atlas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TAU tissue &amp; single-cell specificity, bimodality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expression / tissue</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STRING-DB</w:t>
            </w:r>
          </w:p>
        </w:tc>
        <w:tc>
          <w:tcPr>
            <w:tcW w:type="dxa" w:w="43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Protein-interaction network (RWR / WINNER)</w:t>
            </w:r>
          </w:p>
        </w:tc>
        <w:tc>
          <w:tcPr>
            <w:tcW w:type="dxa" w:w="27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network</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Enrichr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Pathway enrichment (KEGG / Reactome / WikiPathways)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pathway</w:t>
            </w:r>
          </w:p>
        </w:tc>
      </w:tr>
      <w:tr>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Google Gemini</w:t>
            </w:r>
          </w:p>
        </w:tc>
        <w:tc>
          <w:tcPr>
            <w:tcW w:type="dxa" w:w="43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AI summaries, paper extraction, Co-Pilot</w:t>
            </w:r>
          </w:p>
        </w:tc>
        <w:tc>
          <w:tcPr>
            <w:tcW w:type="dxa" w:w="27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derived / AI</w:t>
            </w:r>
          </w:p>
        </w:tc>
      </w:tr>
    </w:tbl>
    <w:p>
      <w:pPr>
        <w:spacing w:after="140"/>
      </w:pPr>
      <w:r>
        <w:rPr>
          <w:rFonts w:ascii="Arial" w:cs="Arial" w:eastAsia="Arial" w:hAnsi="Arial"/>
          <w:i/>
          <w:iCs/>
          <w:color w:val="6B7280"/>
          <w:sz w:val="18"/>
          <w:szCs w:val="18"/>
        </w:rPr>
        <w:t xml:space="preserve">↳ source: </w:t>
      </w:r>
      <w:r>
        <w:rPr>
          <w:rFonts w:ascii="Consolas" w:cs="Consolas" w:eastAsia="Consolas" w:hAnsi="Consolas"/>
          <w:color w:val="2563EB"/>
          <w:sz w:val="18"/>
          <w:szCs w:val="18"/>
        </w:rPr>
        <w:t xml:space="preserve">README.md:49–51 · cbioportalService.ts · chemblService.ts · rwr.ts · winner.ts</w:t>
      </w:r>
    </w:p>
    <w:tbl>
      <w:tblPr>
        <w:tblW w:type="dxa" w:w="9360"/>
        <w:tblBorders>
          <w:top w:val="none"/>
          <w:left w:val="single" w:color="B45309" w:sz="18"/>
          <w:bottom w:val="none"/>
          <w:right w:val="none"/>
          <w:insideH w:val="none"/>
          <w:insideV w:val="single" w:color="auto" w:sz="4"/>
        </w:tblBorders>
      </w:tblPr>
      <w:tblGrid>
        <w:gridCol w:w="9360"/>
      </w:tblGrid>
      <w:tr>
        <w:tc>
          <w:tcPr>
            <w:tcW w:type="dxa" w:w="9360"/>
            <w:shd w:fill="FFF7E6" w:val="clear"/>
            <w:tcMar>
              <w:top w:type="dxa" w:w="120"/>
              <w:left w:type="dxa" w:w="200"/>
              <w:bottom w:type="dxa" w:w="120"/>
              <w:right w:type="dxa" w:w="160"/>
            </w:tcMar>
          </w:tcPr>
          <w:p>
            <w:pPr>
              <w:spacing w:after="60"/>
            </w:pPr>
            <w:r>
              <w:rPr>
                <w:rFonts w:ascii="Arial" w:cs="Arial" w:eastAsia="Arial" w:hAnsi="Arial"/>
                <w:b/>
                <w:bCs/>
                <w:color w:val="B45309"/>
                <w:sz w:val="20"/>
                <w:szCs w:val="20"/>
              </w:rPr>
              <w:t xml:space="preserve">AI-derived content is labelled, not hidden</w:t>
            </w:r>
          </w:p>
          <w:p>
            <w:pPr>
              <w:spacing w:after="140" w:line="276"/>
            </w:pPr>
            <w:r>
              <w:rPr>
                <w:rFonts w:ascii="Arial" w:cs="Arial" w:eastAsia="Arial" w:hAnsi="Arial"/>
              </w:rPr>
              <w:t xml:space="preserve">Values produced by Gemini (summaries, extracted facts) are marked as AI-generated via the </w:t>
            </w:r>
            <w:r>
              <w:rPr>
                <w:rFonts w:ascii="Consolas" w:cs="Consolas" w:eastAsia="Consolas" w:hAnsi="Consolas"/>
                <w:color w:val="1F3A5F"/>
                <w:sz w:val="19"/>
                <w:szCs w:val="19"/>
              </w:rPr>
              <w:t xml:space="preserve">generated_by</w:t>
            </w:r>
            <w:r>
              <w:rPr>
                <w:rFonts w:ascii="Arial" w:cs="Arial" w:eastAsia="Arial" w:hAnsi="Arial"/>
              </w:rPr>
              <w:t xml:space="preserve"> field and an </w:t>
            </w:r>
            <w:r>
              <w:rPr>
                <w:rFonts w:ascii="Consolas" w:cs="Consolas" w:eastAsia="Consolas" w:hAnsi="Consolas"/>
                <w:color w:val="1F3A5F"/>
                <w:sz w:val="19"/>
                <w:szCs w:val="19"/>
              </w:rPr>
              <w:t xml:space="preserve">audit_status</w:t>
            </w:r>
            <w:r>
              <w:rPr>
                <w:rFonts w:ascii="Arial" w:cs="Arial" w:eastAsia="Arial" w:hAnsi="Arial"/>
              </w:rPr>
              <w:t xml:space="preserve"> that starts at </w:t>
            </w:r>
            <w:r>
              <w:rPr>
                <w:rFonts w:ascii="Consolas" w:cs="Consolas" w:eastAsia="Consolas" w:hAnsi="Consolas"/>
                <w:color w:val="1F3A5F"/>
                <w:sz w:val="19"/>
                <w:szCs w:val="19"/>
              </w:rPr>
              <w:t xml:space="preserve">not_audited</w:t>
            </w:r>
            <w:r>
              <w:rPr>
                <w:rFonts w:ascii="Arial" w:cs="Arial" w:eastAsia="Arial" w:hAnsi="Arial"/>
              </w:rPr>
              <w:t xml:space="preserve"> / </w:t>
            </w:r>
            <w:r>
              <w:rPr>
                <w:rFonts w:ascii="Consolas" w:cs="Consolas" w:eastAsia="Consolas" w:hAnsi="Consolas"/>
                <w:color w:val="1F3A5F"/>
                <w:sz w:val="19"/>
                <w:szCs w:val="19"/>
              </w:rPr>
              <w:t xml:space="preserve">AI-extracted</w:t>
            </w:r>
            <w:r>
              <w:rPr>
                <w:rFonts w:ascii="Arial" w:cs="Arial" w:eastAsia="Arial" w:hAnsi="Arial"/>
              </w:rPr>
              <w:t xml:space="preserve">. AI output is treated as a draft to be verified, never as established fact.</w:t>
            </w:r>
          </w:p>
        </w:tc>
      </w:tr>
    </w:tbl>
    <w:p>
      <w:pPr>
        <w:pStyle w:val="Heading1"/>
      </w:pPr>
      <w:r>
        <w:t xml:space="preserve">3. How provenance is stored</w:t>
      </w:r>
    </w:p>
    <w:p>
      <w:pPr>
        <w:spacing w:after="140" w:line="276"/>
      </w:pPr>
      <w:r>
        <w:rPr>
          <w:rFonts w:ascii="Arial" w:cs="Arial" w:eastAsia="Arial" w:hAnsi="Arial"/>
        </w:rPr>
        <w:t xml:space="preserve">The </w:t>
      </w:r>
      <w:r>
        <w:rPr>
          <w:rFonts w:ascii="Arial" w:cs="Arial" w:eastAsia="Arial" w:hAnsi="Arial"/>
          <w:b/>
          <w:bCs/>
        </w:rPr>
        <w:t xml:space="preserve">EVIDENCE</w:t>
      </w:r>
      <w:r>
        <w:rPr>
          <w:rFonts w:ascii="Arial" w:cs="Arial" w:eastAsia="Arial" w:hAnsi="Arial"/>
        </w:rPr>
        <w:t xml:space="preserve"> table is the unit of traceability — one row per evidence item, each carrying its full origin metadata.</w:t>
      </w:r>
    </w:p>
    <w:p>
      <w:pPr>
        <w:pStyle w:val="Heading2"/>
      </w:pPr>
      <w:r>
        <w:t xml:space="preserve">3.1 EVIDENCE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Column</w:t>
            </w:r>
          </w:p>
        </w:tc>
        <w:tc>
          <w:tcPr>
            <w:tcW w:type="dxa" w:w="686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evidence_type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druggability | clinical | literature | genetic | expression | mutation | tissue</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source</w:t>
            </w:r>
          </w:p>
        </w:tc>
        <w:tc>
          <w:tcPr>
            <w:tcW w:type="dxa" w:w="68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ChEMBL | Open Targets | PubMed | Europe PMC | ClinicalTrials.gov | Protein Atlas | PubTator | cBioPortal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source_url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Link to the originating source record</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value_text</w:t>
            </w:r>
          </w:p>
        </w:tc>
        <w:tc>
          <w:tcPr>
            <w:tcW w:type="dxa" w:w="68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Short human-readable value (e.g. “trials: 2”, “Clinically Validated”)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value_json</w:t>
            </w:r>
          </w:p>
        </w:tc>
        <w:tc>
          <w:tcPr>
            <w:tcW w:type="dxa" w:w="6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Full structured payload (CLOB, IS JSON constrained)</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retrieved_at</w:t>
            </w:r>
          </w:p>
        </w:tc>
        <w:tc>
          <w:tcPr>
            <w:tcW w:type="dxa" w:w="68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Timestamp the value was fetched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generated_by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Agent / app / user that produced it (e.g. “harvest”)</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audit_status</w:t>
            </w:r>
          </w:p>
        </w:tc>
        <w:tc>
          <w:tcPr>
            <w:tcW w:type="dxa" w:w="68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not_audited | ai_verified | human_verified</w:t>
            </w:r>
          </w:p>
        </w:tc>
      </w:tr>
    </w:tbl>
    <w:p>
      <w:pPr>
        <w:spacing w:after="140"/>
      </w:pPr>
      <w:r>
        <w:rPr>
          <w:rFonts w:ascii="Arial" w:cs="Arial" w:eastAsia="Arial" w:hAnsi="Arial"/>
          <w:i/>
          <w:iCs/>
          <w:color w:val="6B7280"/>
          <w:sz w:val="18"/>
          <w:szCs w:val="18"/>
        </w:rPr>
        <w:t xml:space="preserve">↳ source: </w:t>
      </w:r>
      <w:r>
        <w:rPr>
          <w:rFonts w:ascii="Consolas" w:cs="Consolas" w:eastAsia="Consolas" w:hAnsi="Consolas"/>
          <w:color w:val="2563EB"/>
          <w:sz w:val="18"/>
          <w:szCs w:val="18"/>
        </w:rPr>
        <w:t xml:space="preserve">docs/sql/oracle_content_tables.sql:46–65 (EVIDENCE DDL)</w:t>
      </w:r>
    </w:p>
    <w:p>
      <w:pPr>
        <w:pStyle w:val="Heading2"/>
      </w:pPr>
      <w:r>
        <w:t xml:space="preserve">3.2 A worked example</w:t>
      </w:r>
    </w:p>
    <w:p>
      <w:pPr>
        <w:spacing w:after="140" w:line="276"/>
      </w:pPr>
      <w:r>
        <w:rPr>
          <w:rFonts w:ascii="Arial" w:cs="Arial" w:eastAsia="Arial" w:hAnsi="Arial"/>
        </w:rPr>
        <w:t xml:space="preserve">A single harvested row for RAF1 in pancreatic cancer illustrates the structure: </w:t>
      </w:r>
      <w:r>
        <w:rPr>
          <w:rFonts w:ascii="Consolas" w:cs="Consolas" w:eastAsia="Consolas" w:hAnsi="Consolas"/>
          <w:color w:val="1F3A5F"/>
          <w:sz w:val="19"/>
          <w:szCs w:val="19"/>
        </w:rPr>
        <w:t xml:space="preserve">evidence_type=druggability</w:t>
      </w:r>
      <w:r>
        <w:rPr>
          <w:rFonts w:ascii="Arial" w:cs="Arial" w:eastAsia="Arial" w:hAnsi="Arial"/>
        </w:rPr>
        <w:t xml:space="preserve">, </w:t>
      </w:r>
      <w:r>
        <w:rPr>
          <w:rFonts w:ascii="Consolas" w:cs="Consolas" w:eastAsia="Consolas" w:hAnsi="Consolas"/>
          <w:color w:val="1F3A5F"/>
          <w:sz w:val="19"/>
          <w:szCs w:val="19"/>
        </w:rPr>
        <w:t xml:space="preserve">source=ChEMBL</w:t>
      </w:r>
      <w:r>
        <w:rPr>
          <w:rFonts w:ascii="Arial" w:cs="Arial" w:eastAsia="Arial" w:hAnsi="Arial"/>
        </w:rPr>
        <w:t xml:space="preserve">, </w:t>
      </w:r>
      <w:r>
        <w:rPr>
          <w:rFonts w:ascii="Consolas" w:cs="Consolas" w:eastAsia="Consolas" w:hAnsi="Consolas"/>
          <w:color w:val="1F3A5F"/>
          <w:sz w:val="19"/>
          <w:szCs w:val="19"/>
        </w:rPr>
        <w:t xml:space="preserve">value_text="Clinically Validated"</w:t>
      </w:r>
      <w:r>
        <w:rPr>
          <w:rFonts w:ascii="Arial" w:cs="Arial" w:eastAsia="Arial" w:hAnsi="Arial"/>
        </w:rPr>
        <w:t xml:space="preserve">, and a </w:t>
      </w:r>
      <w:r>
        <w:rPr>
          <w:rFonts w:ascii="Consolas" w:cs="Consolas" w:eastAsia="Consolas" w:hAnsi="Consolas"/>
          <w:color w:val="1F3A5F"/>
          <w:sz w:val="19"/>
          <w:szCs w:val="19"/>
        </w:rPr>
        <w:t xml:space="preserve">value_json</w:t>
      </w:r>
      <w:r>
        <w:rPr>
          <w:rFonts w:ascii="Arial" w:cs="Arial" w:eastAsia="Arial" w:hAnsi="Arial"/>
        </w:rPr>
        <w:t xml:space="preserve"> payload carrying </w:t>
      </w:r>
      <w:r>
        <w:rPr>
          <w:rFonts w:ascii="Consolas" w:cs="Consolas" w:eastAsia="Consolas" w:hAnsi="Consolas"/>
          <w:color w:val="1F3A5F"/>
          <w:sz w:val="19"/>
          <w:szCs w:val="19"/>
        </w:rPr>
        <w:t xml:space="preserve">targetChemblId</w:t>
      </w:r>
      <w:r>
        <w:rPr>
          <w:rFonts w:ascii="Arial" w:cs="Arial" w:eastAsia="Arial" w:hAnsi="Arial"/>
        </w:rPr>
        <w:t xml:space="preserve">, modality flags, the best compound (ChEMBL id, IC50 = 9 nM, pChEMBL 8.05), total compound count, target max phase, and a druggability label — every figure attributable to its ChEMBL origin.</w:t>
      </w:r>
    </w:p>
    <w:p>
      <w:pPr>
        <w:spacing w:after="140"/>
      </w:pPr>
      <w:r>
        <w:rPr>
          <w:rFonts w:ascii="Arial" w:cs="Arial" w:eastAsia="Arial" w:hAnsi="Arial"/>
          <w:i/>
          <w:iCs/>
          <w:color w:val="6B7280"/>
          <w:sz w:val="18"/>
          <w:szCs w:val="18"/>
        </w:rPr>
        <w:t xml:space="preserve">↳ source: </w:t>
      </w:r>
      <w:r>
        <w:rPr>
          <w:rFonts w:ascii="Consolas" w:cs="Consolas" w:eastAsia="Consolas" w:hAnsi="Consolas"/>
          <w:color w:val="2563EB"/>
          <w:sz w:val="18"/>
          <w:szCs w:val="18"/>
        </w:rPr>
        <w:t xml:space="preserve">EVIDENCE.value_json (exported snapshot, gene RAF1, evidence_type=druggability)</w:t>
      </w:r>
    </w:p>
    <w:p>
      <w:pPr>
        <w:pStyle w:val="Heading1"/>
      </w:pPr>
      <w:r>
        <w:t xml:space="preserve">4. The audit trail</w:t>
      </w:r>
    </w:p>
    <w:p>
      <w:pPr>
        <w:spacing w:after="140" w:line="276"/>
      </w:pPr>
      <w:r>
        <w:rPr>
          <w:rFonts w:ascii="Arial" w:cs="Arial" w:eastAsia="Arial" w:hAnsi="Arial"/>
        </w:rPr>
        <w:t xml:space="preserve">Provenance answers “where did this come from”; the </w:t>
      </w:r>
      <w:r>
        <w:rPr>
          <w:rFonts w:ascii="Arial" w:cs="Arial" w:eastAsia="Arial" w:hAnsi="Arial"/>
          <w:b/>
          <w:bCs/>
        </w:rPr>
        <w:t xml:space="preserve">AUDIT_LOG</w:t>
      </w:r>
      <w:r>
        <w:rPr>
          <w:rFonts w:ascii="Arial" w:cs="Arial" w:eastAsia="Arial" w:hAnsi="Arial"/>
        </w:rPr>
        <w:t xml:space="preserve"> answers “who did what, when.” It is an </w:t>
      </w:r>
      <w:r>
        <w:rPr>
          <w:rFonts w:ascii="Arial" w:cs="Arial" w:eastAsia="Arial" w:hAnsi="Arial"/>
          <w:b/>
          <w:bCs/>
        </w:rPr>
        <w:t xml:space="preserve">append-only</w:t>
      </w:r>
      <w:r>
        <w:rPr>
          <w:rFonts w:ascii="Arial" w:cs="Arial" w:eastAsia="Arial" w:hAnsi="Arial"/>
        </w:rPr>
        <w:t xml:space="preserve"> event trail: the runtime role is granted </w:t>
      </w:r>
      <w:r>
        <w:rPr>
          <w:rFonts w:ascii="Consolas" w:cs="Consolas" w:eastAsia="Consolas" w:hAnsi="Consolas"/>
          <w:color w:val="1F3A5F"/>
          <w:sz w:val="19"/>
          <w:szCs w:val="19"/>
        </w:rPr>
        <w:t xml:space="preserve">SELECT</w:t>
      </w:r>
      <w:r>
        <w:rPr>
          <w:rFonts w:ascii="Arial" w:cs="Arial" w:eastAsia="Arial" w:hAnsi="Arial"/>
        </w:rPr>
        <w:t xml:space="preserve"> and </w:t>
      </w:r>
      <w:r>
        <w:rPr>
          <w:rFonts w:ascii="Consolas" w:cs="Consolas" w:eastAsia="Consolas" w:hAnsi="Consolas"/>
          <w:color w:val="1F3A5F"/>
          <w:sz w:val="19"/>
          <w:szCs w:val="19"/>
        </w:rPr>
        <w:t xml:space="preserve">INSERT</w:t>
      </w:r>
      <w:r>
        <w:rPr>
          <w:rFonts w:ascii="Arial" w:cs="Arial" w:eastAsia="Arial" w:hAnsi="Arial"/>
        </w:rPr>
        <w:t xml:space="preserve"> only — no </w:t>
      </w:r>
      <w:r>
        <w:rPr>
          <w:rFonts w:ascii="Consolas" w:cs="Consolas" w:eastAsia="Consolas" w:hAnsi="Consolas"/>
          <w:color w:val="1F3A5F"/>
          <w:sz w:val="19"/>
          <w:szCs w:val="19"/>
        </w:rPr>
        <w:t xml:space="preserve">UPDATE</w:t>
      </w:r>
      <w:r>
        <w:rPr>
          <w:rFonts w:ascii="Arial" w:cs="Arial" w:eastAsia="Arial" w:hAnsi="Arial"/>
        </w:rPr>
        <w:t xml:space="preserve"> or </w:t>
      </w:r>
      <w:r>
        <w:rPr>
          <w:rFonts w:ascii="Consolas" w:cs="Consolas" w:eastAsia="Consolas" w:hAnsi="Consolas"/>
          <w:color w:val="1F3A5F"/>
          <w:sz w:val="19"/>
          <w:szCs w:val="19"/>
        </w:rPr>
        <w:t xml:space="preserve">DELETE</w:t>
      </w:r>
      <w:r>
        <w:rPr>
          <w:rFonts w:ascii="Arial" w:cs="Arial" w:eastAsia="Arial" w:hAnsi="Arial"/>
        </w:rPr>
        <w:t xml:space="preserve"> — so history cannot be rewritten.</w:t>
      </w:r>
    </w:p>
    <w:p>
      <w:pPr>
        <w:spacing w:after="140"/>
      </w:pPr>
      <w:r>
        <w:rPr>
          <w:rFonts w:ascii="Arial" w:cs="Arial" w:eastAsia="Arial" w:hAnsi="Arial"/>
          <w:i/>
          <w:iCs/>
          <w:color w:val="6B7280"/>
          <w:sz w:val="18"/>
          <w:szCs w:val="18"/>
        </w:rPr>
        <w:t xml:space="preserve">↳ source: </w:t>
      </w:r>
      <w:r>
        <w:rPr>
          <w:rFonts w:ascii="Consolas" w:cs="Consolas" w:eastAsia="Consolas" w:hAnsi="Consolas"/>
          <w:color w:val="2563EB"/>
          <w:sz w:val="18"/>
          <w:szCs w:val="18"/>
        </w:rPr>
        <w:t xml:space="preserve">docs/sql/oracle_content_tables.sql:71–92 (AUDIT_LOG DDL + append-only grant)</w:t>
      </w:r>
    </w:p>
    <w:p>
      <w:pPr>
        <w:pStyle w:val="Heading2"/>
      </w:pPr>
      <w:r>
        <w:t xml:space="preserve">4.1 AUDIT_LOG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Column</w:t>
            </w:r>
          </w:p>
        </w:tc>
        <w:tc>
          <w:tcPr>
            <w:tcW w:type="dxa" w:w="686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event_time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When the event occurred (default SYSTIMESTAMP)</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actor</w:t>
            </w:r>
          </w:p>
        </w:tc>
        <w:tc>
          <w:tcPr>
            <w:tcW w:type="dxa" w:w="68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User email / agent name responsible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action</w:t>
            </w:r>
          </w:p>
        </w:tc>
        <w:tc>
          <w:tcPr>
            <w:tcW w:type="dxa" w:w="6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snapshot_saved | snapshot_deleted | evidence_fetched | ranking_loaded | harvested</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entity / entity_id</w:t>
            </w:r>
          </w:p>
        </w:tc>
        <w:tc>
          <w:tcPr>
            <w:tcW w:type="dxa" w:w="68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Table/entity affected and its 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disease_id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Disease context for the event</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Consolas" w:cs="Consolas" w:eastAsia="Consolas" w:hAnsi="Consolas"/>
                <w:color w:val="1F3A5F"/>
                <w:sz w:val="19"/>
                <w:szCs w:val="19"/>
              </w:rPr>
              <w:t xml:space="preserve">details</w:t>
            </w:r>
          </w:p>
        </w:tc>
        <w:tc>
          <w:tcPr>
            <w:tcW w:type="dxa" w:w="68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Structured detail (CLOB, IS JSON)</w:t>
            </w:r>
          </w:p>
        </w:tc>
      </w:tr>
    </w:tbl>
    <w:p>
      <w:pPr>
        <w:pStyle w:val="Heading2"/>
      </w:pPr>
      <w:r>
        <w:t xml:space="preserve">4.2 Atomic write guarantee</w:t>
      </w:r>
    </w:p>
    <w:p>
      <w:pPr>
        <w:spacing w:after="140" w:line="276"/>
      </w:pPr>
      <w:r>
        <w:rPr>
          <w:rFonts w:ascii="Arial" w:cs="Arial" w:eastAsia="Arial" w:hAnsi="Arial"/>
        </w:rPr>
        <w:t xml:space="preserve">Saving a snapshot writes the header, per-gene scores, and an audit entry in a </w:t>
      </w:r>
      <w:r>
        <w:rPr>
          <w:rFonts w:ascii="Arial" w:cs="Arial" w:eastAsia="Arial" w:hAnsi="Arial"/>
          <w:b/>
          <w:bCs/>
        </w:rPr>
        <w:t xml:space="preserve">single transaction</w:t>
      </w:r>
      <w:r>
        <w:rPr>
          <w:rFonts w:ascii="Arial" w:cs="Arial" w:eastAsia="Arial" w:hAnsi="Arial"/>
        </w:rPr>
        <w:t xml:space="preserve"> with autocommit disabled, so a ranking and its audit record commit together or not at all — there is no state where a ranking exists without its provenance trail.</w:t>
      </w:r>
    </w:p>
    <w:p>
      <w:pPr>
        <w:spacing w:after="140"/>
      </w:pPr>
      <w:r>
        <w:rPr>
          <w:rFonts w:ascii="Arial" w:cs="Arial" w:eastAsia="Arial" w:hAnsi="Arial"/>
          <w:i/>
          <w:iCs/>
          <w:color w:val="6B7280"/>
          <w:sz w:val="18"/>
          <w:szCs w:val="18"/>
        </w:rPr>
        <w:t xml:space="preserve">↳ source: </w:t>
      </w:r>
      <w:r>
        <w:rPr>
          <w:rFonts w:ascii="Consolas" w:cs="Consolas" w:eastAsia="Consolas" w:hAnsi="Consolas"/>
          <w:color w:val="2563EB"/>
          <w:sz w:val="18"/>
          <w:szCs w:val="18"/>
        </w:rPr>
        <w:t xml:space="preserve">oracleService.ts:10 (autoCommit=false) · :71–90 (saveSnapshot transaction)</w:t>
      </w:r>
    </w:p>
    <w:p>
      <w:pPr>
        <w:pStyle w:val="Heading1"/>
      </w:pPr>
      <w:r>
        <w:t xml:space="preserve">5. Governance: roles &amp; access</w:t>
      </w:r>
    </w:p>
    <w:p>
      <w:pPr>
        <w:spacing w:after="140" w:line="276"/>
      </w:pPr>
      <w:r>
        <w:rPr>
          <w:rFonts w:ascii="Arial" w:cs="Arial" w:eastAsia="Arial" w:hAnsi="Arial"/>
        </w:rPr>
        <w:t xml:space="preserve">Access is role-based, separating table ownership from runtime read/write, with the audit table locked to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Role</w:t>
            </w:r>
          </w:p>
        </w:tc>
        <w:tc>
          <w:tcPr>
            <w:tcW w:type="dxa" w:w="576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Rights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DISEASE2TARGET_OWNER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Owns the schema and content tables (DDL)</w:t>
            </w:r>
          </w:p>
        </w:tc>
      </w:tr>
      <w:tr>
        <w:tc>
          <w:tcPr>
            <w:tcW w:type="dxa" w:w="36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DISEASE2TARGET_RW (runtime)</w:t>
            </w:r>
          </w:p>
        </w:tc>
        <w:tc>
          <w:tcPr>
            <w:tcW w:type="dxa" w:w="57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SELECT / INSERT / UPDATE / DELETE on content tables (ranking_scores, evidence)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 on AUDIT_LOG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SELECT / INSERT only — append-only, tamper-resistant</w:t>
            </w:r>
          </w:p>
        </w:tc>
      </w:tr>
    </w:tbl>
    <w:p>
      <w:pPr>
        <w:spacing w:after="140"/>
      </w:pPr>
      <w:r>
        <w:rPr>
          <w:rFonts w:ascii="Arial" w:cs="Arial" w:eastAsia="Arial" w:hAnsi="Arial"/>
          <w:i/>
          <w:iCs/>
          <w:color w:val="6B7280"/>
          <w:sz w:val="18"/>
          <w:szCs w:val="18"/>
        </w:rPr>
        <w:t xml:space="preserve">↳ source: </w:t>
      </w:r>
      <w:r>
        <w:rPr>
          <w:rFonts w:ascii="Consolas" w:cs="Consolas" w:eastAsia="Consolas" w:hAnsi="Consolas"/>
          <w:color w:val="2563EB"/>
          <w:sz w:val="18"/>
          <w:szCs w:val="18"/>
        </w:rPr>
        <w:t xml:space="preserve">docs/sql/oracle_content_tables.sql:86–92 (GRANTs)</w:t>
      </w:r>
    </w:p>
    <w:tbl>
      <w:tblPr>
        <w:tblW w:type="dxa" w:w="9360"/>
        <w:tblBorders>
          <w:top w:val="none"/>
          <w:left w:val="single" w:color="2563EB" w:sz="18"/>
          <w:bottom w:val="none"/>
          <w:right w:val="none"/>
          <w:insideH w:val="none"/>
          <w:insideV w:val="single" w:color="auto" w:sz="4"/>
        </w:tblBorders>
      </w:tblPr>
      <w:tblGrid>
        <w:gridCol w:w="9360"/>
      </w:tblGrid>
      <w:tr>
        <w:tc>
          <w:tcPr>
            <w:tcW w:type="dxa" w:w="9360"/>
            <w:shd w:fill="EEF2F7" w:val="clear"/>
            <w:tcMar>
              <w:top w:type="dxa" w:w="120"/>
              <w:left w:type="dxa" w:w="200"/>
              <w:bottom w:type="dxa" w:w="120"/>
              <w:right w:type="dxa" w:w="160"/>
            </w:tcMar>
          </w:tcPr>
          <w:p>
            <w:pPr>
              <w:spacing w:after="60"/>
            </w:pPr>
            <w:r>
              <w:rPr>
                <w:rFonts w:ascii="Arial" w:cs="Arial" w:eastAsia="Arial" w:hAnsi="Arial"/>
                <w:b/>
                <w:bCs/>
                <w:color w:val="2563EB"/>
                <w:sz w:val="20"/>
                <w:szCs w:val="20"/>
              </w:rPr>
              <w:t xml:space="preserve">Why a governed store matters here</w:t>
            </w:r>
          </w:p>
          <w:p>
            <w:pPr>
              <w:spacing w:after="140" w:line="276"/>
            </w:pPr>
            <w:r>
              <w:rPr>
                <w:rFonts w:ascii="Arial" w:cs="Arial" w:eastAsia="Arial" w:hAnsi="Arial"/>
              </w:rPr>
              <w:t xml:space="preserve">Keeping content in Oracle — rather than a commodity cloud DB — gives the lab an institutional, governed system of record with role separation and an immutable audit trail. It is also why the production backend must run inside the UAB network to reach the database.</w:t>
            </w:r>
          </w:p>
        </w:tc>
      </w:tr>
    </w:tbl>
    <w:p>
      <w:pPr>
        <w:pStyle w:val="Heading1"/>
      </w:pPr>
      <w:r>
        <w:t xml:space="preserve">6. Verification workflow &amp; current state</w:t>
      </w:r>
    </w:p>
    <w:p>
      <w:pPr>
        <w:spacing w:after="140" w:line="276"/>
      </w:pPr>
      <w:r>
        <w:rPr>
          <w:rFonts w:ascii="Arial" w:cs="Arial" w:eastAsia="Arial" w:hAnsi="Arial"/>
        </w:rPr>
        <w:t xml:space="preserve">Every evidence item carries an </w:t>
      </w:r>
      <w:r>
        <w:rPr>
          <w:rFonts w:ascii="Consolas" w:cs="Consolas" w:eastAsia="Consolas" w:hAnsi="Consolas"/>
          <w:color w:val="1F3A5F"/>
          <w:sz w:val="19"/>
          <w:szCs w:val="19"/>
        </w:rPr>
        <w:t xml:space="preserve">audit_status</w:t>
      </w:r>
      <w:r>
        <w:rPr>
          <w:rFonts w:ascii="Arial" w:cs="Arial" w:eastAsia="Arial" w:hAnsi="Arial"/>
        </w:rPr>
        <w:t xml:space="preserve"> that moves from </w:t>
      </w:r>
      <w:r>
        <w:rPr>
          <w:rFonts w:ascii="Consolas" w:cs="Consolas" w:eastAsia="Consolas" w:hAnsi="Consolas"/>
          <w:color w:val="1F3A5F"/>
          <w:sz w:val="19"/>
          <w:szCs w:val="19"/>
        </w:rPr>
        <w:t xml:space="preserve">not_audited</w:t>
      </w:r>
      <w:r>
        <w:rPr>
          <w:rFonts w:ascii="Arial" w:cs="Arial" w:eastAsia="Arial" w:hAnsi="Arial"/>
        </w:rPr>
        <w:t xml:space="preserve"> → </w:t>
      </w:r>
      <w:r>
        <w:rPr>
          <w:rFonts w:ascii="Consolas" w:cs="Consolas" w:eastAsia="Consolas" w:hAnsi="Consolas"/>
          <w:color w:val="1F3A5F"/>
          <w:sz w:val="19"/>
          <w:szCs w:val="19"/>
        </w:rPr>
        <w:t xml:space="preserve">ai_verified</w:t>
      </w:r>
      <w:r>
        <w:rPr>
          <w:rFonts w:ascii="Arial" w:cs="Arial" w:eastAsia="Arial" w:hAnsi="Arial"/>
        </w:rPr>
        <w:t xml:space="preserve"> → </w:t>
      </w:r>
      <w:r>
        <w:rPr>
          <w:rFonts w:ascii="Consolas" w:cs="Consolas" w:eastAsia="Consolas" w:hAnsi="Consolas"/>
          <w:color w:val="1F3A5F"/>
          <w:sz w:val="19"/>
          <w:szCs w:val="19"/>
        </w:rPr>
        <w:t xml:space="preserve">human_verified</w:t>
      </w:r>
      <w:r>
        <w:rPr>
          <w:rFonts w:ascii="Arial" w:cs="Arial" w:eastAsia="Arial" w:hAnsi="Arial"/>
        </w:rPr>
        <w:t xml:space="preserve"> as it is checked. This makes the verification state of any value explicit and queryable.</w:t>
      </w:r>
    </w:p>
    <w:tbl>
      <w:tblPr>
        <w:tblW w:type="dxa" w:w="9360"/>
        <w:tblBorders>
          <w:top w:val="none"/>
          <w:left w:val="single" w:color="B45309" w:sz="18"/>
          <w:bottom w:val="none"/>
          <w:right w:val="none"/>
          <w:insideH w:val="none"/>
          <w:insideV w:val="single" w:color="auto" w:sz="4"/>
        </w:tblBorders>
      </w:tblPr>
      <w:tblGrid>
        <w:gridCol w:w="9360"/>
      </w:tblGrid>
      <w:tr>
        <w:tc>
          <w:tcPr>
            <w:tcW w:type="dxa" w:w="9360"/>
            <w:shd w:fill="FFF7E6" w:val="clear"/>
            <w:tcMar>
              <w:top w:type="dxa" w:w="120"/>
              <w:left w:type="dxa" w:w="200"/>
              <w:bottom w:type="dxa" w:w="120"/>
              <w:right w:type="dxa" w:w="160"/>
            </w:tcMar>
          </w:tcPr>
          <w:p>
            <w:pPr>
              <w:spacing w:after="60"/>
            </w:pPr>
            <w:r>
              <w:rPr>
                <w:rFonts w:ascii="Arial" w:cs="Arial" w:eastAsia="Arial" w:hAnsi="Arial"/>
                <w:b/>
                <w:bCs/>
                <w:color w:val="B45309"/>
                <w:sz w:val="20"/>
                <w:szCs w:val="20"/>
              </w:rPr>
              <w:t xml:space="preserve">Current state of the demonstration data</w:t>
            </w:r>
          </w:p>
          <w:p>
            <w:pPr>
              <w:spacing w:after="140" w:line="276"/>
            </w:pPr>
            <w:r>
              <w:rPr>
                <w:rFonts w:ascii="Arial" w:cs="Arial" w:eastAsia="Arial" w:hAnsi="Arial"/>
              </w:rPr>
              <w:t xml:space="preserve">In the present pancreatic-cancer snapshot, </w:t>
            </w:r>
            <w:r>
              <w:rPr>
                <w:rFonts w:ascii="Arial" w:cs="Arial" w:eastAsia="Arial" w:hAnsi="Arial"/>
                <w:b/>
                <w:bCs/>
              </w:rPr>
              <w:t xml:space="preserve">all evidence rows are </w:t>
            </w:r>
            <w:r>
              <w:rPr>
                <w:rFonts w:ascii="Consolas" w:cs="Consolas" w:eastAsia="Consolas" w:hAnsi="Consolas"/>
                <w:color w:val="1F3A5F"/>
                <w:sz w:val="19"/>
                <w:szCs w:val="19"/>
              </w:rPr>
              <w:t xml:space="preserve">not_audited</w:t>
            </w:r>
            <w:r>
              <w:rPr>
                <w:rFonts w:ascii="Arial" w:cs="Arial" w:eastAsia="Arial" w:hAnsi="Arial"/>
                <w:b/>
                <w:bCs/>
              </w:rPr>
              <w:t xml:space="preserve"> / </w:t>
            </w:r>
            <w:r>
              <w:rPr>
                <w:rFonts w:ascii="Consolas" w:cs="Consolas" w:eastAsia="Consolas" w:hAnsi="Consolas"/>
                <w:color w:val="1F3A5F"/>
                <w:sz w:val="19"/>
                <w:szCs w:val="19"/>
              </w:rPr>
              <w:t xml:space="preserve">harvest</w:t>
            </w:r>
            <w:r>
              <w:rPr>
                <w:rFonts w:ascii="Arial" w:cs="Arial" w:eastAsia="Arial" w:hAnsi="Arial"/>
                <w:b/>
                <w:bCs/>
              </w:rPr>
              <w:t xml:space="preserve">-generated</w:t>
            </w:r>
            <w:r>
              <w:rPr>
                <w:rFonts w:ascii="Arial" w:cs="Arial" w:eastAsia="Arial" w:hAnsi="Arial"/>
              </w:rPr>
              <w:t xml:space="preserve"> — i.e. freshly harvested and not yet human-reviewed. This is expected for a first version: the pipeline and provenance scaffolding are in place, and human verification is the next layer. The honest framing for review is that the system </w:t>
            </w:r>
            <w:r>
              <w:rPr>
                <w:rFonts w:ascii="Arial" w:cs="Arial" w:eastAsia="Arial" w:hAnsi="Arial"/>
                <w:b/>
                <w:bCs/>
              </w:rPr>
              <w:t xml:space="preserve">records</w:t>
            </w:r>
            <w:r>
              <w:rPr>
                <w:rFonts w:ascii="Arial" w:cs="Arial" w:eastAsia="Arial" w:hAnsi="Arial"/>
              </w:rPr>
              <w:t xml:space="preserve"> verification state faithfully; populating </w:t>
            </w:r>
            <w:r>
              <w:rPr>
                <w:rFonts w:ascii="Consolas" w:cs="Consolas" w:eastAsia="Consolas" w:hAnsi="Consolas"/>
                <w:color w:val="1F3A5F"/>
                <w:sz w:val="19"/>
                <w:szCs w:val="19"/>
              </w:rPr>
              <w:t xml:space="preserve">human_verified</w:t>
            </w:r>
            <w:r>
              <w:rPr>
                <w:rFonts w:ascii="Arial" w:cs="Arial" w:eastAsia="Arial" w:hAnsi="Arial"/>
              </w:rPr>
              <w:t xml:space="preserve"> is upcoming work, tied to onboarding the first lab users.</w:t>
            </w:r>
          </w:p>
        </w:tc>
      </w:tr>
    </w:tbl>
    <w:p>
      <w:pPr>
        <w:spacing w:after="140"/>
      </w:pPr>
      <w:r>
        <w:rPr>
          <w:rFonts w:ascii="Arial" w:cs="Arial" w:eastAsia="Arial" w:hAnsi="Arial"/>
          <w:i/>
          <w:iCs/>
          <w:color w:val="6B7280"/>
          <w:sz w:val="18"/>
          <w:szCs w:val="18"/>
        </w:rPr>
        <w:t xml:space="preserve">↳ source: </w:t>
      </w:r>
      <w:r>
        <w:rPr>
          <w:rFonts w:ascii="Consolas" w:cs="Consolas" w:eastAsia="Consolas" w:hAnsi="Consolas"/>
          <w:color w:val="2563EB"/>
          <w:sz w:val="18"/>
          <w:szCs w:val="18"/>
        </w:rPr>
        <w:t xml:space="preserve">EVIDENCE rows (exported snapshot): audit_status='not_audited', generated_by='harvest' · PLAN §0, Phase A</w:t>
      </w:r>
    </w:p>
    <w:p>
      <w:pPr>
        <w:pStyle w:val="Heading1"/>
      </w:pPr>
      <w:r>
        <w:t xml:space="preserve">7. Reproducibility</w:t>
      </w:r>
    </w:p>
    <w:p>
      <w:pPr>
        <w:spacing w:after="140" w:line="276"/>
      </w:pPr>
      <w:r>
        <w:rPr>
          <w:rFonts w:ascii="Arial" w:cs="Arial" w:eastAsia="Arial" w:hAnsi="Arial"/>
        </w:rPr>
        <w:t xml:space="preserve">Provenance plus versioned snapshots make any ranking reproducible:</w:t>
      </w:r>
    </w:p>
    <w:p>
      <w:pPr>
        <w:pStyle w:val="ListParagraph"/>
        <w:numPr>
          <w:ilvl w:val="0"/>
          <w:numId w:val="2"/>
        </w:numPr>
        <w:spacing w:after="60" w:line="264"/>
      </w:pPr>
      <w:r>
        <w:rPr>
          <w:rFonts w:ascii="Arial" w:cs="Arial" w:eastAsia="Arial" w:hAnsi="Arial"/>
          <w:b/>
          <w:bCs/>
        </w:rPr>
        <w:t xml:space="preserve">Versioned snapshots</w:t>
      </w:r>
      <w:r>
        <w:rPr>
          <w:rFonts w:ascii="Arial" w:cs="Arial" w:eastAsia="Arial" w:hAnsi="Arial"/>
        </w:rPr>
        <w:t xml:space="preserve"> — each save increments the disease's version, so historical rankings are preserved and comparable across runs.</w:t>
      </w:r>
    </w:p>
    <w:p>
      <w:pPr>
        <w:pStyle w:val="ListParagraph"/>
        <w:numPr>
          <w:ilvl w:val="0"/>
          <w:numId w:val="2"/>
        </w:numPr>
        <w:spacing w:after="60" w:line="264"/>
      </w:pPr>
      <w:r>
        <w:rPr>
          <w:rFonts w:ascii="Arial" w:cs="Arial" w:eastAsia="Arial" w:hAnsi="Arial"/>
          <w:b/>
          <w:bCs/>
        </w:rPr>
        <w:t xml:space="preserve">Stored weights</w:t>
      </w:r>
      <w:r>
        <w:rPr>
          <w:rFonts w:ascii="Arial" w:cs="Arial" w:eastAsia="Arial" w:hAnsi="Arial"/>
        </w:rPr>
        <w:t xml:space="preserve"> — the scoring rubric used is saved with each snapshot, so a ranking can always be re-derived from its inputs.</w:t>
      </w:r>
    </w:p>
    <w:p>
      <w:pPr>
        <w:pStyle w:val="ListParagraph"/>
        <w:numPr>
          <w:ilvl w:val="0"/>
          <w:numId w:val="2"/>
        </w:numPr>
        <w:spacing w:after="60" w:line="264"/>
      </w:pPr>
      <w:r>
        <w:rPr>
          <w:rFonts w:ascii="Arial" w:cs="Arial" w:eastAsia="Arial" w:hAnsi="Arial"/>
          <w:b/>
          <w:bCs/>
        </w:rPr>
        <w:t xml:space="preserve">Timestamped sources</w:t>
      </w:r>
      <w:r>
        <w:rPr>
          <w:rFonts w:ascii="Arial" w:cs="Arial" w:eastAsia="Arial" w:hAnsi="Arial"/>
        </w:rPr>
        <w:t xml:space="preserve"> — </w:t>
      </w:r>
      <w:r>
        <w:rPr>
          <w:rFonts w:ascii="Consolas" w:cs="Consolas" w:eastAsia="Consolas" w:hAnsi="Consolas"/>
          <w:color w:val="1F3A5F"/>
          <w:sz w:val="19"/>
          <w:szCs w:val="19"/>
        </w:rPr>
        <w:t xml:space="preserve">retrieved_at</w:t>
      </w:r>
      <w:r>
        <w:rPr>
          <w:rFonts w:ascii="Arial" w:cs="Arial" w:eastAsia="Arial" w:hAnsi="Arial"/>
        </w:rPr>
        <w:t xml:space="preserve"> records when each value was current, important because external sources update over time.</w:t>
      </w:r>
    </w:p>
    <w:p>
      <w:pPr>
        <w:spacing w:after="140"/>
      </w:pPr>
      <w:r>
        <w:rPr>
          <w:rFonts w:ascii="Arial" w:cs="Arial" w:eastAsia="Arial" w:hAnsi="Arial"/>
          <w:i/>
          <w:iCs/>
          <w:color w:val="6B7280"/>
          <w:sz w:val="18"/>
          <w:szCs w:val="18"/>
        </w:rPr>
        <w:t xml:space="preserve">↳ source: </w:t>
      </w:r>
      <w:r>
        <w:rPr>
          <w:rFonts w:ascii="Consolas" w:cs="Consolas" w:eastAsia="Consolas" w:hAnsi="Consolas"/>
          <w:color w:val="2563EB"/>
          <w:sz w:val="18"/>
          <w:szCs w:val="18"/>
        </w:rPr>
        <w:t xml:space="preserve">oracleService.ts saveSnapshot (version increment, weights persisted) · EVIDENCE.retrieved_at</w:t>
      </w:r>
    </w:p>
    <w:p>
      <w:pPr>
        <w:pStyle w:val="Heading1"/>
      </w:pPr>
      <w:r>
        <w:t xml:space="preserve">8. Summary</w:t>
      </w:r>
    </w:p>
    <w:p>
      <w:pPr>
        <w:spacing w:after="140" w:line="276"/>
      </w:pPr>
      <w:r>
        <w:rPr>
          <w:rFonts w:ascii="Arial" w:cs="Arial" w:eastAsia="Arial" w:hAnsi="Arial"/>
        </w:rPr>
        <w:t xml:space="preserve">Disease2Target is built so that no number is orphaned: each evidence item knows its source, URL, retrieval time, producer, and verification state, and an append-only audit log records every event that touched the store. Rankings are versioned and carry the weights that produced them. The verification ladder is implemented and currently sits at </w:t>
      </w:r>
      <w:r>
        <w:rPr>
          <w:rFonts w:ascii="Consolas" w:cs="Consolas" w:eastAsia="Consolas" w:hAnsi="Consolas"/>
          <w:color w:val="1F3A5F"/>
          <w:sz w:val="19"/>
          <w:szCs w:val="19"/>
        </w:rPr>
        <w:t xml:space="preserve">not_audited</w:t>
      </w:r>
      <w:r>
        <w:rPr>
          <w:rFonts w:ascii="Arial" w:cs="Arial" w:eastAsia="Arial" w:hAnsi="Arial"/>
        </w:rPr>
        <w:t xml:space="preserve"> for the demonstration data — the scaffolding for full, human-verified traceability is in place, which is exactly what an evidence-backed, clearly-documented system requires.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B7280"/>
        <w:sz w:val="16"/>
        <w:szCs w:val="16"/>
      </w:rPr>
      <w:t xml:space="preserve">Evidence-backed · code-grounded</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9360"/>
      </w:tabs>
    </w:pPr>
    <w:r>
      <w:rPr>
        <w:rFonts w:ascii="Arial" w:cs="Arial" w:eastAsia="Arial" w:hAnsi="Arial"/>
        <w:b/>
        <w:bCs/>
        <w:color w:val="2563EB"/>
        <w:sz w:val="16"/>
        <w:szCs w:val="16"/>
      </w:rPr>
      <w:t xml:space="preserve">Disease2Target</w:t>
    </w:r>
    <w:r>
      <w:rPr>
        <w:rFonts w:ascii="Arial" w:cs="Arial" w:eastAsia="Arial" w:hAnsi="Arial"/>
        <w:color w:val="6B7280"/>
        <w:sz w:val="16"/>
        <w:szCs w:val="16"/>
      </w:rPr>
      <w:t xml:space="preserve">	Data Provenance &amp;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DEE8" w:sz="4"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563EB"/>
      <w:sz w:val="25"/>
      <w:szCs w:val="25"/>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Provenance &amp; Audit</dc:title>
  <dc:creator>Disease2Target</dc:creator>
  <cp:lastModifiedBy>Un-named</cp:lastModifiedBy>
  <cp:revision>1</cp:revision>
  <dcterms:created xsi:type="dcterms:W3CDTF">2026-06-22T00:24:15.416Z</dcterms:created>
  <dcterms:modified xsi:type="dcterms:W3CDTF">2026-06-22T00:24:15.417Z</dcterms:modified>
</cp:coreProperties>
</file>

<file path=docProps/custom.xml><?xml version="1.0" encoding="utf-8"?>
<Properties xmlns="http://schemas.openxmlformats.org/officeDocument/2006/custom-properties" xmlns:vt="http://schemas.openxmlformats.org/officeDocument/2006/docPropsVTypes"/>
</file>