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600"/>
      </w:pPr>
      <w:r>
        <w:rPr>
          <w:rFonts w:ascii="Arial" w:cs="Arial" w:eastAsia="Arial" w:hAnsi="Arial"/>
          <w:b/>
          <w:bCs/>
          <w:color w:val="2563EB"/>
          <w:spacing w:val="60"/>
          <w:sz w:val="26"/>
          <w:szCs w:val="26"/>
        </w:rPr>
        <w:t xml:space="preserve">DISEASE2TARGET</w:t>
      </w:r>
    </w:p>
    <w:p>
      <w:pPr>
        <w:pBdr>
          <w:bottom w:val="single" w:color="2563EB" w:sz="6" w:space="6"/>
        </w:pBdr>
        <w:spacing w:after="40" w:before="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AI-Powered Drug Target Prioritization</w:t>
      </w:r>
    </w:p>
    <w:p>
      <w:pPr>
        <w:spacing w:after="120" w:before="420"/>
      </w:pPr>
      <w:r>
        <w:rPr>
          <w:rFonts w:ascii="Arial" w:cs="Arial" w:eastAsia="Arial" w:hAnsi="Arial"/>
          <w:b/>
          <w:bCs/>
          <w:color w:val="1F3A5F"/>
          <w:sz w:val="52"/>
          <w:szCs w:val="52"/>
        </w:rPr>
        <w:t xml:space="preserve">Funnel Feature — Build Spec</w:t>
      </w:r>
    </w:p>
    <w:p>
      <w:pPr>
        <w:spacing w:after="300"/>
      </w:pPr>
      <w:r>
        <w:rPr>
          <w:rFonts w:ascii="Arial" w:cs="Arial" w:eastAsia="Arial" w:hAnsi="Arial"/>
          <w:color w:val="374151"/>
          <w:sz w:val="28"/>
          <w:szCs w:val="28"/>
        </w:rPr>
        <w:t xml:space="preserve">DB-backed target funnel over currently-stored evidence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Implementation spec for the coding agent · extend FunnelView.tsx</w:t>
      </w:r>
    </w:p>
    <w:p>
      <w:pPr>
        <w:spacing w:after="40" w:before="240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Project owner: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Nikhil Kurmachalam</w:t>
      </w:r>
    </w:p>
    <w:p>
      <w:pPr>
        <w:spacing w:after="4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Demonstration disease: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Pancreatic adenocarcinoma (EFO_0002618)</w:t>
      </w:r>
    </w:p>
    <w:p>
      <w:r>
        <w:rPr>
          <w:rFonts w:ascii="Arial" w:cs="Arial" w:eastAsia="Arial" w:hAnsi="Arial"/>
          <w:color w:val="6B7280"/>
          <w:sz w:val="20"/>
          <w:szCs w:val="20"/>
        </w:rPr>
        <w:t xml:space="preserve">Generated: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2026-06-22  ·  grounded in repository source (file:line references throughout)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What to build</w:t>
      </w:r>
    </w:p>
    <w:p>
      <w:pPr>
        <w:spacing w:after="140" w:line="276"/>
      </w:pPr>
      <w:r>
        <w:rPr>
          <w:rFonts w:ascii="Arial" w:cs="Arial" w:eastAsia="Arial" w:hAnsi="Arial"/>
        </w:rPr>
        <w:t xml:space="preserve">This is an implementation spec for the </w:t>
      </w:r>
      <w:r>
        <w:rPr>
          <w:rFonts w:ascii="Arial" w:cs="Arial" w:eastAsia="Arial" w:hAnsi="Arial"/>
          <w:b/>
          <w:bCs/>
        </w:rPr>
        <w:t xml:space="preserve">Target Funnel feature</w:t>
      </w:r>
      <w:r>
        <w:rPr>
          <w:rFonts w:ascii="Arial" w:cs="Arial" w:eastAsia="Arial" w:hAnsi="Arial"/>
        </w:rPr>
        <w:t xml:space="preserve">, written to be handed to a coding agent. The goal: evolve the existing </w:t>
      </w:r>
      <w:r>
        <w:rPr>
          <w:rFonts w:ascii="Consolas" w:cs="Consolas" w:eastAsia="Consolas" w:hAnsi="Consolas"/>
          <w:color w:val="1F3A5F"/>
          <w:sz w:val="19"/>
          <w:szCs w:val="19"/>
        </w:rPr>
        <w:t xml:space="preserve">FunnelView.tsx</w:t>
      </w:r>
      <w:r>
        <w:rPr>
          <w:rFonts w:ascii="Arial" w:cs="Arial" w:eastAsia="Arial" w:hAnsi="Arial"/>
        </w:rPr>
        <w:t xml:space="preserve"> from a 5-slider prototype into a defensible, DB-backed nomination funnel that narrows a disease's gene universe to a short, justified target list — using </w:t>
      </w:r>
      <w:r>
        <w:rPr>
          <w:rFonts w:ascii="Arial" w:cs="Arial" w:eastAsia="Arial" w:hAnsi="Arial"/>
          <w:b/>
          <w:bCs/>
        </w:rPr>
        <w:t xml:space="preserve">only data already stored in Oracle</w:t>
      </w:r>
      <w:r>
        <w:rPr>
          <w:rFonts w:ascii="Arial" w:cs="Arial" w:eastAsia="Arial" w:hAnsi="Arial"/>
        </w:rPr>
        <w:t xml:space="preserve">, with clean extension slots for axes added later.</w:t>
      </w:r>
    </w:p>
    <w:tbl>
      <w:tblPr>
        <w:tblW w:type="dxa" w:w="9360"/>
        <w:tblBorders>
          <w:top w:val="none"/>
          <w:left w:val="single" w:color="2563EB" w:sz="18"/>
          <w:bottom w:val="none"/>
          <w:right w:val="none"/>
          <w:insideH w:val="none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EF2F7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Two hard rules for this build</w:t>
            </w:r>
          </w:p>
          <w:p>
            <w:pPr>
              <w:spacing w:after="140" w:line="276"/>
            </w:pPr>
            <w:r>
              <w:rPr>
                <w:rFonts w:ascii="Arial" w:cs="Arial" w:eastAsia="Arial" w:hAnsi="Arial"/>
                <w:b/>
                <w:bCs/>
              </w:rPr>
              <w:t xml:space="preserve">1. DB-backed, no live API calls in the funnel. </w:t>
            </w:r>
            <w:r>
              <w:rPr>
                <w:rFonts w:ascii="Arial" w:cs="Arial" w:eastAsia="Arial" w:hAnsi="Arial"/>
              </w:rPr>
              <w:t xml:space="preserve">The funnel reads stored evidence from Oracle and computes in memory. All external fetching belongs to the separate harvest layer, never to the funnel.</w:t>
            </w:r>
          </w:p>
          <w:p>
            <w:pPr>
              <w:spacing w:after="140" w:line="276"/>
            </w:pPr>
            <w:r>
              <w:rPr>
                <w:rFonts w:ascii="Arial" w:cs="Arial" w:eastAsia="Arial" w:hAnsi="Arial"/>
                <w:b/>
                <w:bCs/>
              </w:rPr>
              <w:t xml:space="preserve">2. Missing data = unknown, never zero. </w:t>
            </w:r>
            <w:r>
              <w:rPr>
                <w:rFonts w:ascii="Arial" w:cs="Arial" w:eastAsia="Arial" w:hAnsi="Arial"/>
              </w:rPr>
              <w:t xml:space="preserve">A gene lacking an axis must not be penalised as if it scored zero. This is the single most important correctness rule (see §6).</w:t>
            </w:r>
          </w:p>
        </w:tc>
      </w:tr>
    </w:tbl>
    <w:p>
      <w:pPr>
        <w:pStyle w:val="Heading1"/>
      </w:pPr>
      <w:r>
        <w:t xml:space="preserve">2. Current state (starting point)</w:t>
      </w:r>
    </w:p>
    <w:p>
      <w:pPr>
        <w:spacing w:after="140" w:line="276"/>
      </w:pPr>
      <w:r>
        <w:rPr>
          <w:rFonts w:ascii="Arial" w:cs="Arial" w:eastAsia="Arial" w:hAnsi="Arial"/>
        </w:rPr>
        <w:t xml:space="preserve">The existing </w:t>
      </w:r>
      <w:r>
        <w:rPr>
          <w:rFonts w:ascii="Consolas" w:cs="Consolas" w:eastAsia="Consolas" w:hAnsi="Consolas"/>
          <w:color w:val="1F3A5F"/>
          <w:sz w:val="19"/>
          <w:szCs w:val="19"/>
        </w:rPr>
        <w:t xml:space="preserve">FunnelView.tsx</w:t>
      </w:r>
      <w:r>
        <w:rPr>
          <w:rFonts w:ascii="Arial" w:cs="Arial" w:eastAsia="Arial" w:hAnsi="Arial"/>
        </w:rPr>
        <w:t xml:space="preserve"> is a good skeleton: it defines five stages, each reading one attribute already on the in-memory </w:t>
      </w:r>
      <w:r>
        <w:rPr>
          <w:rFonts w:ascii="Consolas" w:cs="Consolas" w:eastAsia="Consolas" w:hAnsi="Consolas"/>
          <w:color w:val="1F3A5F"/>
          <w:sz w:val="19"/>
          <w:szCs w:val="19"/>
        </w:rPr>
        <w:t xml:space="preserve">Target</w:t>
      </w:r>
      <w:r>
        <w:rPr>
          <w:rFonts w:ascii="Arial" w:cs="Arial" w:eastAsia="Arial" w:hAnsi="Arial"/>
        </w:rPr>
        <w:t xml:space="preserve"> objects, and filters with a </w:t>
      </w:r>
      <w:r>
        <w:rPr>
          <w:rFonts w:ascii="Consolas" w:cs="Consolas" w:eastAsia="Consolas" w:hAnsi="Consolas"/>
          <w:color w:val="1F3A5F"/>
          <w:sz w:val="19"/>
          <w:szCs w:val="19"/>
        </w:rPr>
        <w:t xml:space="preserve">≥ threshold</w:t>
      </w:r>
      <w:r>
        <w:rPr>
          <w:rFonts w:ascii="Arial" w:cs="Arial" w:eastAsia="Arial" w:hAnsi="Arial"/>
        </w:rPr>
        <w:t xml:space="preserve"> slider per stage; survivors are sorted by GET score. It is a pure function of </w:t>
      </w:r>
      <w:r>
        <w:rPr>
          <w:rFonts w:ascii="Consolas" w:cs="Consolas" w:eastAsia="Consolas" w:hAnsi="Consolas"/>
          <w:color w:val="1F3A5F"/>
          <w:sz w:val="19"/>
          <w:szCs w:val="19"/>
        </w:rPr>
        <w:t xml:space="preserve">(targets, thresholds)</w:t>
      </w:r>
      <w:r>
        <w:rPr>
          <w:rFonts w:ascii="Arial" w:cs="Arial" w:eastAsia="Arial" w:hAnsi="Arial"/>
        </w:rPr>
        <w:t xml:space="preserve"> — no fetching, no app-state mutation. Keep that architecture; extend it.</w:t>
      </w:r>
    </w:p>
    <w:p>
      <w:pPr>
        <w:spacing w:after="14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↳ source: </w:t>
      </w:r>
      <w:r>
        <w:rPr>
          <w:rFonts w:ascii="Consolas" w:cs="Consolas" w:eastAsia="Consolas" w:hAnsi="Consolas"/>
          <w:color w:val="2563EB"/>
          <w:sz w:val="18"/>
          <w:szCs w:val="18"/>
        </w:rPr>
        <w:t xml:space="preserve">FunnelView.tsx:14–42 (STAGES, filter loop, survivors sort)</w:t>
      </w:r>
    </w:p>
    <w:p>
      <w:pPr>
        <w:spacing w:after="140" w:line="276"/>
      </w:pPr>
      <w:r>
        <w:rPr>
          <w:rFonts w:ascii="Arial" w:cs="Arial" w:eastAsia="Arial" w:hAnsi="Arial"/>
        </w:rPr>
        <w:t xml:space="preserve">Three limitations to address: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</w:rPr>
        <w:t xml:space="preserve">It uses only the GET sub-scores (geneticScore, expression, targetScore, literature, tauTissue) and </w:t>
      </w:r>
      <w:r>
        <w:rPr>
          <w:rFonts w:ascii="Arial" w:cs="Arial" w:eastAsia="Arial" w:hAnsi="Arial"/>
          <w:b/>
          <w:bCs/>
        </w:rPr>
        <w:t xml:space="preserve">ignores the richer EVIDENCE axes</w:t>
      </w:r>
      <w:r>
        <w:rPr>
          <w:rFonts w:ascii="Arial" w:cs="Arial" w:eastAsia="Arial" w:hAnsi="Arial"/>
        </w:rPr>
        <w:t xml:space="preserve"> already stored (mutation frequency, ChEMBL druggability label, trial counts, literature velocity).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</w:rPr>
        <w:t xml:space="preserve">It is </w:t>
      </w:r>
      <w:r>
        <w:rPr>
          <w:rFonts w:ascii="Arial" w:cs="Arial" w:eastAsia="Arial" w:hAnsi="Arial"/>
          <w:b/>
          <w:bCs/>
        </w:rPr>
        <w:t xml:space="preserve">hard-filter only</w:t>
      </w:r>
      <w:r>
        <w:rPr>
          <w:rFonts w:ascii="Arial" w:cs="Arial" w:eastAsia="Arial" w:hAnsi="Arial"/>
        </w:rPr>
        <w:t xml:space="preserve"> — there is no soft, weighted re-ranking of survivors; they are sorted by the pre-existing GET score.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</w:rPr>
        <w:t xml:space="preserve">It defaults missing values to 0 (</w:t>
      </w:r>
      <w:r>
        <w:rPr>
          <w:rFonts w:ascii="Consolas" w:cs="Consolas" w:eastAsia="Consolas" w:hAnsi="Consolas"/>
          <w:color w:val="1F3A5F"/>
          <w:sz w:val="19"/>
          <w:szCs w:val="19"/>
        </w:rPr>
        <w:t xml:space="preserve">?? 0</w:t>
      </w:r>
      <w:r>
        <w:rPr>
          <w:rFonts w:ascii="Arial" w:cs="Arial" w:eastAsia="Arial" w:hAnsi="Arial"/>
        </w:rPr>
        <w:t xml:space="preserve">), which wrongly drops genes that simply lack data. </w:t>
      </w:r>
      <w:r>
        <w:rPr>
          <w:rFonts w:ascii="Arial" w:cs="Arial" w:eastAsia="Arial" w:hAnsi="Arial"/>
          <w:b/>
          <w:bCs/>
          <w:color w:val="FFFFFF"/>
          <w:sz w:val="16"/>
          <w:szCs w:val="16"/>
          <w:shd w:fill="B91C1C" w:color="auto" w:val="clear"/>
        </w:rPr>
        <w:t xml:space="preserve">  FIX  </w:t>
      </w:r>
    </w:p>
    <w:p>
      <w:pPr>
        <w:spacing w:after="14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↳ source: </w:t>
      </w:r>
      <w:r>
        <w:rPr>
          <w:rFonts w:ascii="Consolas" w:cs="Consolas" w:eastAsia="Consolas" w:hAnsi="Consolas"/>
          <w:color w:val="2563EB"/>
          <w:sz w:val="18"/>
          <w:szCs w:val="18"/>
        </w:rPr>
        <w:t xml:space="preserve">FunnelView.tsx:15–22 (get(): ?? 0) — must change to a missing-aware accessor</w:t>
      </w:r>
    </w:p>
    <w:p>
      <w:pPr>
        <w:pStyle w:val="Heading1"/>
      </w:pPr>
      <w:r>
        <w:t xml:space="preserve">3. Architecture</w:t>
      </w:r>
    </w:p>
    <w:p>
      <w:pPr>
        <w:spacing w:after="140" w:line="276"/>
      </w:pPr>
      <w:r>
        <w:rPr>
          <w:rFonts w:ascii="Arial" w:cs="Arial" w:eastAsia="Arial" w:hAnsi="Arial"/>
        </w:rPr>
        <w:t xml:space="preserve">Three layers, strictly separated: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4760"/>
        <w:gridCol w:w="2300"/>
      </w:tblGrid>
      <w:tr>
        <w:trPr>
          <w:tblHeader/>
        </w:trP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 this build?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Harvest (writers)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Batch jobs that call external APIs and write evidence into Oracle. Run once per snapshot.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  <w:shd w:fill="6B7280" w:color="auto" w:val="clear"/>
              </w:rPr>
              <w:t xml:space="preserve">  LATER  </w:t>
            </w:r>
            <w:r>
              <w:rPr>
                <w:rFonts w:ascii="Arial" w:cs="Arial" w:eastAsia="Arial" w:hAnsi="Arial"/>
              </w:rPr>
              <w:t xml:space="preserve"> (exists; unchanged)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Selector (read model)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Reads a snapshot's RANKING_SCORES + EVIDENCE from Oracle and assembles one feature object per gene.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  <w:shd w:fill="15803D" w:color="auto" w:val="clear"/>
              </w:rPr>
              <w:t xml:space="preserve">  BUILD NOW  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Funnel (compute)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Pure in-memory hard-filter + soft-rank over the feature objects; renders narrowing + shortlist.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  <w:shd w:fill="15803D" w:color="auto" w:val="clear"/>
              </w:rPr>
              <w:t xml:space="preserve">  BUILD NOW  </w:t>
            </w:r>
          </w:p>
        </w:tc>
      </w:tr>
    </w:tbl>
    <w:p>
      <w:pPr>
        <w:spacing w:after="140" w:line="276"/>
      </w:pPr>
      <w:r>
        <w:rPr>
          <w:rFonts w:ascii="Arial" w:cs="Arial" w:eastAsia="Arial" w:hAnsi="Arial"/>
        </w:rPr>
        <w:t xml:space="preserve">The funnel operates on a </w:t>
      </w:r>
      <w:r>
        <w:rPr>
          <w:rFonts w:ascii="Arial" w:cs="Arial" w:eastAsia="Arial" w:hAnsi="Arial"/>
          <w:b/>
          <w:bCs/>
        </w:rPr>
        <w:t xml:space="preserve">selected snapshot</w:t>
      </w:r>
      <w:r>
        <w:rPr>
          <w:rFonts w:ascii="Arial" w:cs="Arial" w:eastAsia="Arial" w:hAnsi="Arial"/>
        </w:rPr>
        <w:t xml:space="preserve"> (like the Rankings view), not on transient session state — this is what makes it DB-backed and reproducible. Reuse the existing read endpoints.</w:t>
      </w:r>
    </w:p>
    <w:p>
      <w:pPr>
        <w:spacing w:after="14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↳ source: </w:t>
      </w:r>
      <w:r>
        <w:rPr>
          <w:rFonts w:ascii="Consolas" w:cs="Consolas" w:eastAsia="Consolas" w:hAnsi="Consolas"/>
          <w:color w:val="2563EB"/>
          <w:sz w:val="18"/>
          <w:szCs w:val="18"/>
        </w:rPr>
        <w:t xml:space="preserve">server.ts /api/snapshots/:id/scores (:412) · /api/snapshots/:id/evidence (:423) · RankingsView.tsx pattern</w:t>
      </w:r>
    </w:p>
    <w:p>
      <w:pPr>
        <w:pStyle w:val="Heading1"/>
      </w:pPr>
      <w:r>
        <w:t xml:space="preserve">4. The read model (selector)</w:t>
      </w:r>
    </w:p>
    <w:p>
      <w:pPr>
        <w:spacing w:after="140" w:line="276"/>
      </w:pPr>
      <w:r>
        <w:rPr>
          <w:rFonts w:ascii="Arial" w:cs="Arial" w:eastAsia="Arial" w:hAnsi="Arial"/>
        </w:rPr>
        <w:t xml:space="preserve">Build a selector that, given a snapshot id, returns an array of </w:t>
      </w:r>
      <w:r>
        <w:rPr>
          <w:rFonts w:ascii="Consolas" w:cs="Consolas" w:eastAsia="Consolas" w:hAnsi="Consolas"/>
          <w:color w:val="1F3A5F"/>
          <w:sz w:val="19"/>
          <w:szCs w:val="19"/>
        </w:rPr>
        <w:t xml:space="preserve">GeneFeatures</w:t>
      </w:r>
      <w:r>
        <w:rPr>
          <w:rFonts w:ascii="Arial" w:cs="Arial" w:eastAsia="Arial" w:hAnsi="Arial"/>
        </w:rPr>
        <w:t xml:space="preserve"> objects by joining RANKING_SCORES (one row per gene) with EVIDENCE (one row per gene per evidence_type, parsing </w:t>
      </w:r>
      <w:r>
        <w:rPr>
          <w:rFonts w:ascii="Consolas" w:cs="Consolas" w:eastAsia="Consolas" w:hAnsi="Consolas"/>
          <w:color w:val="1F3A5F"/>
          <w:sz w:val="19"/>
          <w:szCs w:val="19"/>
        </w:rPr>
        <w:t xml:space="preserve">value_json</w:t>
      </w:r>
      <w:r>
        <w:rPr>
          <w:rFonts w:ascii="Arial" w:cs="Arial" w:eastAsia="Arial" w:hAnsi="Arial"/>
        </w:rPr>
        <w:t xml:space="preserve">). Each axis value is </w:t>
      </w:r>
      <w:r>
        <w:rPr>
          <w:rFonts w:ascii="Arial" w:cs="Arial" w:eastAsia="Arial" w:hAnsi="Arial"/>
          <w:b/>
          <w:bCs/>
        </w:rPr>
        <w:t xml:space="preserve">nullable</w:t>
      </w:r>
      <w:r>
        <w:rPr>
          <w:rFonts w:ascii="Arial" w:cs="Arial" w:eastAsia="Arial" w:hAnsi="Arial"/>
        </w:rPr>
        <w:t xml:space="preserve"> — null means “not harvested for this gene”, which the funnel treats as unknown.</w:t>
      </w:r>
    </w:p>
    <w:p>
      <w:pPr>
        <w:pStyle w:val="Heading2"/>
      </w:pPr>
      <w:r>
        <w:t xml:space="preserve">4.1 Field mapping (what each axis reads)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360"/>
        <w:gridCol w:w="3900"/>
      </w:tblGrid>
      <w:tr>
        <w:trPr>
          <w:tblHeader/>
        </w:trP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Axis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Stored location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 / JSON path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Genetic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RANKING_SCORES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genetic_score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Mutation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EVIDENCE (mutation) value_json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mutationFrequency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Expression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RANKING_SCORES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expression_score / combinedExpression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Tissue specificity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RANKING_SCORES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tau_tissue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Druggability (score)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RANKING_SCORES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target_score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Druggability (label)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EVIDENCE (druggability) value_json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label, druggabilityScore, targetMaxPhase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Clinical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EVIDENCE (clinical) value_json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trial_count, max_phase, interventional_count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Literature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EVIDENCE (literature) value_json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paper_count, recent_paper_count, signal_velocity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Pathway (annotation)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snapshot targets JSON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pathways[]</w:t>
            </w:r>
          </w:p>
        </w:tc>
      </w:tr>
    </w:tbl>
    <w:p>
      <w:pPr>
        <w:spacing w:after="14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↳ source: </w:t>
      </w:r>
      <w:r>
        <w:rPr>
          <w:rFonts w:ascii="Consolas" w:cs="Consolas" w:eastAsia="Consolas" w:hAnsi="Consolas"/>
          <w:color w:val="2563EB"/>
          <w:sz w:val="18"/>
          <w:szCs w:val="18"/>
        </w:rPr>
        <w:t xml:space="preserve">EVIDENCE.value_json keys verified from exported snapshot 8 · ranking_scores DDL (oracle_content_tables.sql:16–38)</w:t>
      </w:r>
    </w:p>
    <w:p>
      <w:pPr>
        <w:pStyle w:val="Heading1"/>
      </w:pPr>
      <w:r>
        <w:t xml:space="preserve">5. Stages to build now</w:t>
      </w:r>
    </w:p>
    <w:p>
      <w:pPr>
        <w:spacing w:after="140" w:line="276"/>
      </w:pPr>
      <w:r>
        <w:rPr>
          <w:rFonts w:ascii="Arial" w:cs="Arial" w:eastAsia="Arial" w:hAnsi="Arial"/>
        </w:rPr>
        <w:t xml:space="preserve">Six stages from currently-stored data. Each is config, not hard-coded logic, so future axes drop in as new entries (§9). Network (STRING/WINNER) is intentionally excluded — it belongs to the separate downstream app.</w:t>
      </w:r>
    </w:p>
    <w:p>
      <w:pPr>
        <w:pStyle w:val="Heading2"/>
      </w:pPr>
      <w:r>
        <w:t xml:space="preserve">Stage 1 — Genetic association</w:t>
      </w:r>
    </w:p>
    <w:p>
      <w:pPr>
        <w:spacing w:after="50" w:line="264"/>
        <w:ind w:left="60"/>
      </w:pPr>
      <w:r>
        <w:rPr>
          <w:rFonts w:ascii="Arial" w:cs="Arial" w:eastAsia="Arial" w:hAnsi="Arial"/>
          <w:b/>
          <w:bCs/>
          <w:color w:val="1F3A5F"/>
          <w:sz w:val="19"/>
          <w:szCs w:val="19"/>
        </w:rPr>
        <w:t xml:space="preserve">Reads: </w:t>
      </w:r>
      <w:r>
        <w:rPr>
          <w:rFonts w:ascii="Consolas" w:cs="Consolas" w:eastAsia="Consolas" w:hAnsi="Consolas"/>
          <w:color w:val="1F3A5F"/>
          <w:sz w:val="19"/>
          <w:szCs w:val="19"/>
        </w:rPr>
        <w:t xml:space="preserve">genetic_score</w:t>
      </w:r>
      <w:r>
        <w:rPr>
          <w:rFonts w:ascii="Arial" w:cs="Arial" w:eastAsia="Arial" w:hAnsi="Arial"/>
        </w:rPr>
        <w:t xml:space="preserve"> (RANKING_SCORES)</w:t>
      </w:r>
    </w:p>
    <w:p>
      <w:pPr>
        <w:spacing w:after="50" w:line="264"/>
        <w:ind w:left="60"/>
      </w:pPr>
      <w:r>
        <w:rPr>
          <w:rFonts w:ascii="Arial" w:cs="Arial" w:eastAsia="Arial" w:hAnsi="Arial"/>
          <w:b/>
          <w:bCs/>
          <w:color w:val="1F3A5F"/>
          <w:sz w:val="19"/>
          <w:szCs w:val="19"/>
        </w:rPr>
        <w:t xml:space="preserve">Type: </w:t>
      </w:r>
      <w:r>
        <w:rPr>
          <w:rFonts w:ascii="Arial" w:cs="Arial" w:eastAsia="Arial" w:hAnsi="Arial"/>
        </w:rPr>
        <w:t xml:space="preserve">Hard filter (≥ threshold) + soft axis</w:t>
      </w:r>
    </w:p>
    <w:p>
      <w:pPr>
        <w:spacing w:after="50" w:line="264"/>
        <w:ind w:left="60"/>
      </w:pPr>
      <w:r>
        <w:rPr>
          <w:rFonts w:ascii="Arial" w:cs="Arial" w:eastAsia="Arial" w:hAnsi="Arial"/>
          <w:b/>
          <w:bCs/>
          <w:color w:val="1F3A5F"/>
          <w:sz w:val="19"/>
          <w:szCs w:val="19"/>
        </w:rPr>
        <w:t xml:space="preserve">Status: </w:t>
      </w:r>
      <w:r>
        <w:rPr>
          <w:rFonts w:ascii="Arial" w:cs="Arial" w:eastAsia="Arial" w:hAnsi="Arial"/>
          <w:b/>
          <w:bCs/>
          <w:color w:val="FFFFFF"/>
          <w:sz w:val="16"/>
          <w:szCs w:val="16"/>
          <w:shd w:fill="15803D" w:color="auto" w:val="clear"/>
        </w:rPr>
        <w:t xml:space="preserve">  BUILD NOW  </w:t>
      </w:r>
    </w:p>
    <w:p>
      <w:pPr>
        <w:pStyle w:val="Heading2"/>
      </w:pPr>
      <w:r>
        <w:t xml:space="preserve">Stage 2 — Mutation</w:t>
      </w:r>
    </w:p>
    <w:p>
      <w:pPr>
        <w:spacing w:after="50" w:line="264"/>
        <w:ind w:left="60"/>
      </w:pPr>
      <w:r>
        <w:rPr>
          <w:rFonts w:ascii="Arial" w:cs="Arial" w:eastAsia="Arial" w:hAnsi="Arial"/>
          <w:b/>
          <w:bCs/>
          <w:color w:val="1F3A5F"/>
          <w:sz w:val="19"/>
          <w:szCs w:val="19"/>
        </w:rPr>
        <w:t xml:space="preserve">Reads: </w:t>
      </w:r>
      <w:r>
        <w:rPr>
          <w:rFonts w:ascii="Consolas" w:cs="Consolas" w:eastAsia="Consolas" w:hAnsi="Consolas"/>
          <w:color w:val="1F3A5F"/>
          <w:sz w:val="19"/>
          <w:szCs w:val="19"/>
        </w:rPr>
        <w:t xml:space="preserve">mutationFrequency</w:t>
      </w:r>
      <w:r>
        <w:rPr>
          <w:rFonts w:ascii="Arial" w:cs="Arial" w:eastAsia="Arial" w:hAnsi="Arial"/>
        </w:rPr>
        <w:t xml:space="preserve"> from EVIDENCE(mutation).value_json</w:t>
      </w:r>
    </w:p>
    <w:p>
      <w:pPr>
        <w:spacing w:after="50" w:line="264"/>
        <w:ind w:left="60"/>
      </w:pPr>
      <w:r>
        <w:rPr>
          <w:rFonts w:ascii="Arial" w:cs="Arial" w:eastAsia="Arial" w:hAnsi="Arial"/>
          <w:b/>
          <w:bCs/>
          <w:color w:val="1F3A5F"/>
          <w:sz w:val="19"/>
          <w:szCs w:val="19"/>
        </w:rPr>
        <w:t xml:space="preserve">Type: </w:t>
      </w:r>
      <w:r>
        <w:rPr>
          <w:rFonts w:ascii="Arial" w:cs="Arial" w:eastAsia="Arial" w:hAnsi="Arial"/>
        </w:rPr>
        <w:t xml:space="preserve">Soft axis (optionally hard floor)</w:t>
      </w:r>
    </w:p>
    <w:p>
      <w:pPr>
        <w:spacing w:after="50" w:line="264"/>
        <w:ind w:left="60"/>
      </w:pPr>
      <w:r>
        <w:rPr>
          <w:rFonts w:ascii="Arial" w:cs="Arial" w:eastAsia="Arial" w:hAnsi="Arial"/>
          <w:b/>
          <w:bCs/>
          <w:color w:val="1F3A5F"/>
          <w:sz w:val="19"/>
          <w:szCs w:val="19"/>
        </w:rPr>
        <w:t xml:space="preserve">Note: </w:t>
      </w:r>
      <w:r>
        <w:rPr>
          <w:rFonts w:ascii="Arial" w:cs="Arial" w:eastAsia="Arial" w:hAnsi="Arial"/>
        </w:rPr>
        <w:t xml:space="preserve">Heavily skewed (KRAS ~0.65 vs long tail) → rank-normalize, don't min–max.</w:t>
      </w:r>
    </w:p>
    <w:p>
      <w:pPr>
        <w:spacing w:after="50" w:line="264"/>
        <w:ind w:left="60"/>
      </w:pPr>
      <w:r>
        <w:rPr>
          <w:rFonts w:ascii="Arial" w:cs="Arial" w:eastAsia="Arial" w:hAnsi="Arial"/>
          <w:b/>
          <w:bCs/>
          <w:color w:val="1F3A5F"/>
          <w:sz w:val="19"/>
          <w:szCs w:val="19"/>
        </w:rPr>
        <w:t xml:space="preserve">Status: </w:t>
      </w:r>
      <w:r>
        <w:rPr>
          <w:rFonts w:ascii="Arial" w:cs="Arial" w:eastAsia="Arial" w:hAnsi="Arial"/>
          <w:b/>
          <w:bCs/>
          <w:color w:val="FFFFFF"/>
          <w:sz w:val="16"/>
          <w:szCs w:val="16"/>
          <w:shd w:fill="15803D" w:color="auto" w:val="clear"/>
        </w:rPr>
        <w:t xml:space="preserve">  BUILD NOW  </w:t>
      </w:r>
    </w:p>
    <w:p>
      <w:pPr>
        <w:pStyle w:val="Heading2"/>
      </w:pPr>
      <w:r>
        <w:t xml:space="preserve">Stage 3 — Expression &amp; tissue specificity</w:t>
      </w:r>
    </w:p>
    <w:p>
      <w:pPr>
        <w:spacing w:after="50" w:line="264"/>
        <w:ind w:left="60"/>
      </w:pPr>
      <w:r>
        <w:rPr>
          <w:rFonts w:ascii="Arial" w:cs="Arial" w:eastAsia="Arial" w:hAnsi="Arial"/>
          <w:b/>
          <w:bCs/>
          <w:color w:val="1F3A5F"/>
          <w:sz w:val="19"/>
          <w:szCs w:val="19"/>
        </w:rPr>
        <w:t xml:space="preserve">Reads: </w:t>
      </w:r>
      <w:r>
        <w:rPr>
          <w:rFonts w:ascii="Consolas" w:cs="Consolas" w:eastAsia="Consolas" w:hAnsi="Consolas"/>
          <w:color w:val="1F3A5F"/>
          <w:sz w:val="19"/>
          <w:szCs w:val="19"/>
        </w:rPr>
        <w:t xml:space="preserve">expression_score</w:t>
      </w:r>
      <w:r>
        <w:rPr>
          <w:rFonts w:ascii="Arial" w:cs="Arial" w:eastAsia="Arial" w:hAnsi="Arial"/>
        </w:rPr>
        <w:t xml:space="preserve"> / </w:t>
      </w:r>
      <w:r>
        <w:rPr>
          <w:rFonts w:ascii="Consolas" w:cs="Consolas" w:eastAsia="Consolas" w:hAnsi="Consolas"/>
          <w:color w:val="1F3A5F"/>
          <w:sz w:val="19"/>
          <w:szCs w:val="19"/>
        </w:rPr>
        <w:t xml:space="preserve">combinedExpression</w:t>
      </w:r>
      <w:r>
        <w:rPr>
          <w:rFonts w:ascii="Arial" w:cs="Arial" w:eastAsia="Arial" w:hAnsi="Arial"/>
        </w:rPr>
        <w:t xml:space="preserve">, </w:t>
      </w:r>
      <w:r>
        <w:rPr>
          <w:rFonts w:ascii="Consolas" w:cs="Consolas" w:eastAsia="Consolas" w:hAnsi="Consolas"/>
          <w:color w:val="1F3A5F"/>
          <w:sz w:val="19"/>
          <w:szCs w:val="19"/>
        </w:rPr>
        <w:t xml:space="preserve">tau_tissue</w:t>
      </w:r>
    </w:p>
    <w:p>
      <w:pPr>
        <w:spacing w:after="50" w:line="264"/>
        <w:ind w:left="60"/>
      </w:pPr>
      <w:r>
        <w:rPr>
          <w:rFonts w:ascii="Arial" w:cs="Arial" w:eastAsia="Arial" w:hAnsi="Arial"/>
          <w:b/>
          <w:bCs/>
          <w:color w:val="1F3A5F"/>
          <w:sz w:val="19"/>
          <w:szCs w:val="19"/>
        </w:rPr>
        <w:t xml:space="preserve">Type: </w:t>
      </w:r>
      <w:r>
        <w:rPr>
          <w:rFonts w:ascii="Arial" w:cs="Arial" w:eastAsia="Arial" w:hAnsi="Arial"/>
        </w:rPr>
        <w:t xml:space="preserve">Hard filter + soft axis</w:t>
      </w:r>
    </w:p>
    <w:p>
      <w:pPr>
        <w:spacing w:after="50" w:line="264"/>
        <w:ind w:left="60"/>
      </w:pPr>
      <w:r>
        <w:rPr>
          <w:rFonts w:ascii="Arial" w:cs="Arial" w:eastAsia="Arial" w:hAnsi="Arial"/>
          <w:b/>
          <w:bCs/>
          <w:color w:val="1F3A5F"/>
          <w:sz w:val="19"/>
          <w:szCs w:val="19"/>
        </w:rPr>
        <w:t xml:space="preserve">Status: </w:t>
      </w:r>
      <w:r>
        <w:rPr>
          <w:rFonts w:ascii="Arial" w:cs="Arial" w:eastAsia="Arial" w:hAnsi="Arial"/>
          <w:b/>
          <w:bCs/>
          <w:color w:val="FFFFFF"/>
          <w:sz w:val="16"/>
          <w:szCs w:val="16"/>
          <w:shd w:fill="15803D" w:color="auto" w:val="clear"/>
        </w:rPr>
        <w:t xml:space="preserve">  BUILD NOW  </w:t>
      </w:r>
    </w:p>
    <w:p>
      <w:pPr>
        <w:pStyle w:val="Heading2"/>
      </w:pPr>
      <w:r>
        <w:t xml:space="preserve">Stage 4 — Druggability</w:t>
      </w:r>
    </w:p>
    <w:p>
      <w:pPr>
        <w:spacing w:after="50" w:line="264"/>
        <w:ind w:left="60"/>
      </w:pPr>
      <w:r>
        <w:rPr>
          <w:rFonts w:ascii="Arial" w:cs="Arial" w:eastAsia="Arial" w:hAnsi="Arial"/>
          <w:b/>
          <w:bCs/>
          <w:color w:val="1F3A5F"/>
          <w:sz w:val="19"/>
          <w:szCs w:val="19"/>
        </w:rPr>
        <w:t xml:space="preserve">Reads: </w:t>
      </w:r>
      <w:r>
        <w:rPr>
          <w:rFonts w:ascii="Consolas" w:cs="Consolas" w:eastAsia="Consolas" w:hAnsi="Consolas"/>
          <w:color w:val="1F3A5F"/>
          <w:sz w:val="19"/>
          <w:szCs w:val="19"/>
        </w:rPr>
        <w:t xml:space="preserve">target_score</w:t>
      </w:r>
      <w:r>
        <w:rPr>
          <w:rFonts w:ascii="Arial" w:cs="Arial" w:eastAsia="Arial" w:hAnsi="Arial"/>
        </w:rPr>
        <w:t xml:space="preserve"> + EVIDENCE(druggability): </w:t>
      </w:r>
      <w:r>
        <w:rPr>
          <w:rFonts w:ascii="Consolas" w:cs="Consolas" w:eastAsia="Consolas" w:hAnsi="Consolas"/>
          <w:color w:val="1F3A5F"/>
          <w:sz w:val="19"/>
          <w:szCs w:val="19"/>
        </w:rPr>
        <w:t xml:space="preserve">label, druggabilityScore, targetMaxPhase</w:t>
      </w:r>
    </w:p>
    <w:p>
      <w:pPr>
        <w:spacing w:after="50" w:line="264"/>
        <w:ind w:left="60"/>
      </w:pPr>
      <w:r>
        <w:rPr>
          <w:rFonts w:ascii="Arial" w:cs="Arial" w:eastAsia="Arial" w:hAnsi="Arial"/>
          <w:b/>
          <w:bCs/>
          <w:color w:val="1F3A5F"/>
          <w:sz w:val="19"/>
          <w:szCs w:val="19"/>
        </w:rPr>
        <w:t xml:space="preserve">Type: </w:t>
      </w:r>
      <w:r>
        <w:rPr>
          <w:rFonts w:ascii="Arial" w:cs="Arial" w:eastAsia="Arial" w:hAnsi="Arial"/>
        </w:rPr>
        <w:t xml:space="preserve">Tractability tier (gate) + soft axis</w:t>
      </w:r>
    </w:p>
    <w:p>
      <w:pPr>
        <w:spacing w:after="50" w:line="264"/>
        <w:ind w:left="60"/>
      </w:pPr>
      <w:r>
        <w:rPr>
          <w:rFonts w:ascii="Arial" w:cs="Arial" w:eastAsia="Arial" w:hAnsi="Arial"/>
          <w:b/>
          <w:bCs/>
          <w:color w:val="1F3A5F"/>
          <w:sz w:val="19"/>
          <w:szCs w:val="19"/>
        </w:rPr>
        <w:t xml:space="preserve">Note: </w:t>
      </w:r>
      <w:r>
        <w:rPr>
          <w:rFonts w:ascii="Arial" w:cs="Arial" w:eastAsia="Arial" w:hAnsi="Arial"/>
          <w:b/>
          <w:bCs/>
        </w:rPr>
        <w:t xml:space="preserve">“No Drug Data Found” = unknown, not zero</w:t>
      </w:r>
      <w:r>
        <w:rPr>
          <w:rFonts w:ascii="Arial" w:cs="Arial" w:eastAsia="Arial" w:hAnsi="Arial"/>
        </w:rPr>
        <w:t xml:space="preserve"> — keep as a distinct category; do not floor-filter these out by default.</w:t>
      </w:r>
    </w:p>
    <w:p>
      <w:pPr>
        <w:spacing w:after="50" w:line="264"/>
        <w:ind w:left="60"/>
      </w:pPr>
      <w:r>
        <w:rPr>
          <w:rFonts w:ascii="Arial" w:cs="Arial" w:eastAsia="Arial" w:hAnsi="Arial"/>
          <w:b/>
          <w:bCs/>
          <w:color w:val="1F3A5F"/>
          <w:sz w:val="19"/>
          <w:szCs w:val="19"/>
        </w:rPr>
        <w:t xml:space="preserve">Status: </w:t>
      </w:r>
      <w:r>
        <w:rPr>
          <w:rFonts w:ascii="Arial" w:cs="Arial" w:eastAsia="Arial" w:hAnsi="Arial"/>
          <w:b/>
          <w:bCs/>
          <w:color w:val="FFFFFF"/>
          <w:sz w:val="16"/>
          <w:szCs w:val="16"/>
          <w:shd w:fill="15803D" w:color="auto" w:val="clear"/>
        </w:rPr>
        <w:t xml:space="preserve">  BUILD NOW  </w:t>
      </w:r>
    </w:p>
    <w:p>
      <w:pPr>
        <w:pStyle w:val="Heading2"/>
      </w:pPr>
      <w:r>
        <w:t xml:space="preserve">Stage 5 — Clinical landscape</w:t>
      </w:r>
    </w:p>
    <w:p>
      <w:pPr>
        <w:spacing w:after="50" w:line="264"/>
        <w:ind w:left="60"/>
      </w:pPr>
      <w:r>
        <w:rPr>
          <w:rFonts w:ascii="Arial" w:cs="Arial" w:eastAsia="Arial" w:hAnsi="Arial"/>
          <w:b/>
          <w:bCs/>
          <w:color w:val="1F3A5F"/>
          <w:sz w:val="19"/>
          <w:szCs w:val="19"/>
        </w:rPr>
        <w:t xml:space="preserve">Reads: </w:t>
      </w:r>
      <w:r>
        <w:rPr>
          <w:rFonts w:ascii="Consolas" w:cs="Consolas" w:eastAsia="Consolas" w:hAnsi="Consolas"/>
          <w:color w:val="1F3A5F"/>
          <w:sz w:val="19"/>
          <w:szCs w:val="19"/>
        </w:rPr>
        <w:t xml:space="preserve">trial_count, max_phase, interventional_count</w:t>
      </w:r>
      <w:r>
        <w:rPr>
          <w:rFonts w:ascii="Arial" w:cs="Arial" w:eastAsia="Arial" w:hAnsi="Arial"/>
        </w:rPr>
        <w:t xml:space="preserve"> from EVIDENCE(clinical)</w:t>
      </w:r>
    </w:p>
    <w:p>
      <w:pPr>
        <w:spacing w:after="50" w:line="264"/>
        <w:ind w:left="60"/>
      </w:pPr>
      <w:r>
        <w:rPr>
          <w:rFonts w:ascii="Arial" w:cs="Arial" w:eastAsia="Arial" w:hAnsi="Arial"/>
          <w:b/>
          <w:bCs/>
          <w:color w:val="1F3A5F"/>
          <w:sz w:val="19"/>
          <w:szCs w:val="19"/>
        </w:rPr>
        <w:t xml:space="preserve">Type: </w:t>
      </w:r>
      <w:r>
        <w:rPr>
          <w:rFonts w:ascii="Arial" w:cs="Arial" w:eastAsia="Arial" w:hAnsi="Arial"/>
        </w:rPr>
        <w:t xml:space="preserve">Soft axis; supports a saturation penalty (down-weight already-trialed genes for a novelty objective)</w:t>
      </w:r>
    </w:p>
    <w:p>
      <w:pPr>
        <w:spacing w:after="50" w:line="264"/>
        <w:ind w:left="60"/>
      </w:pPr>
      <w:r>
        <w:rPr>
          <w:rFonts w:ascii="Arial" w:cs="Arial" w:eastAsia="Arial" w:hAnsi="Arial"/>
          <w:b/>
          <w:bCs/>
          <w:color w:val="1F3A5F"/>
          <w:sz w:val="19"/>
          <w:szCs w:val="19"/>
        </w:rPr>
        <w:t xml:space="preserve">Status: </w:t>
      </w:r>
      <w:r>
        <w:rPr>
          <w:rFonts w:ascii="Arial" w:cs="Arial" w:eastAsia="Arial" w:hAnsi="Arial"/>
          <w:b/>
          <w:bCs/>
          <w:color w:val="FFFFFF"/>
          <w:sz w:val="16"/>
          <w:szCs w:val="16"/>
          <w:shd w:fill="15803D" w:color="auto" w:val="clear"/>
        </w:rPr>
        <w:t xml:space="preserve">  BUILD NOW  </w:t>
      </w:r>
    </w:p>
    <w:p>
      <w:pPr>
        <w:pStyle w:val="Heading2"/>
      </w:pPr>
      <w:r>
        <w:t xml:space="preserve">Stage 6 — Literature signal</w:t>
      </w:r>
    </w:p>
    <w:p>
      <w:pPr>
        <w:spacing w:after="50" w:line="264"/>
        <w:ind w:left="60"/>
      </w:pPr>
      <w:r>
        <w:rPr>
          <w:rFonts w:ascii="Arial" w:cs="Arial" w:eastAsia="Arial" w:hAnsi="Arial"/>
          <w:b/>
          <w:bCs/>
          <w:color w:val="1F3A5F"/>
          <w:sz w:val="19"/>
          <w:szCs w:val="19"/>
        </w:rPr>
        <w:t xml:space="preserve">Reads: </w:t>
      </w:r>
      <w:r>
        <w:rPr>
          <w:rFonts w:ascii="Consolas" w:cs="Consolas" w:eastAsia="Consolas" w:hAnsi="Consolas"/>
          <w:color w:val="1F3A5F"/>
          <w:sz w:val="19"/>
          <w:szCs w:val="19"/>
        </w:rPr>
        <w:t xml:space="preserve">recent_paper_count / paper_count</w:t>
      </w:r>
      <w:r>
        <w:rPr>
          <w:rFonts w:ascii="Arial" w:cs="Arial" w:eastAsia="Arial" w:hAnsi="Arial"/>
        </w:rPr>
        <w:t xml:space="preserve"> and </w:t>
      </w:r>
      <w:r>
        <w:rPr>
          <w:rFonts w:ascii="Consolas" w:cs="Consolas" w:eastAsia="Consolas" w:hAnsi="Consolas"/>
          <w:color w:val="1F3A5F"/>
          <w:sz w:val="19"/>
          <w:szCs w:val="19"/>
        </w:rPr>
        <w:t xml:space="preserve">signal_velocity</w:t>
      </w:r>
      <w:r>
        <w:rPr>
          <w:rFonts w:ascii="Arial" w:cs="Arial" w:eastAsia="Arial" w:hAnsi="Arial"/>
        </w:rPr>
        <w:t xml:space="preserve"> from EVIDENCE(literature)</w:t>
      </w:r>
    </w:p>
    <w:p>
      <w:pPr>
        <w:spacing w:after="50" w:line="264"/>
        <w:ind w:left="60"/>
      </w:pPr>
      <w:r>
        <w:rPr>
          <w:rFonts w:ascii="Arial" w:cs="Arial" w:eastAsia="Arial" w:hAnsi="Arial"/>
          <w:b/>
          <w:bCs/>
          <w:color w:val="1F3A5F"/>
          <w:sz w:val="19"/>
          <w:szCs w:val="19"/>
        </w:rPr>
        <w:t xml:space="preserve">Type: </w:t>
      </w:r>
      <w:r>
        <w:rPr>
          <w:rFonts w:ascii="Arial" w:cs="Arial" w:eastAsia="Arial" w:hAnsi="Arial"/>
        </w:rPr>
        <w:t xml:space="preserve">Soft axis — prefer velocity (rising interest) over raw count</w:t>
      </w:r>
    </w:p>
    <w:p>
      <w:pPr>
        <w:spacing w:after="50" w:line="264"/>
        <w:ind w:left="60"/>
      </w:pPr>
      <w:r>
        <w:rPr>
          <w:rFonts w:ascii="Arial" w:cs="Arial" w:eastAsia="Arial" w:hAnsi="Arial"/>
          <w:b/>
          <w:bCs/>
          <w:color w:val="1F3A5F"/>
          <w:sz w:val="19"/>
          <w:szCs w:val="19"/>
        </w:rPr>
        <w:t xml:space="preserve">Status: </w:t>
      </w:r>
      <w:r>
        <w:rPr>
          <w:rFonts w:ascii="Arial" w:cs="Arial" w:eastAsia="Arial" w:hAnsi="Arial"/>
          <w:b/>
          <w:bCs/>
          <w:color w:val="FFFFFF"/>
          <w:sz w:val="16"/>
          <w:szCs w:val="16"/>
          <w:shd w:fill="15803D" w:color="auto" w:val="clear"/>
        </w:rPr>
        <w:t xml:space="preserve">  BUILD NOW  </w:t>
      </w:r>
    </w:p>
    <w:p>
      <w:pPr>
        <w:pStyle w:val="Heading2"/>
      </w:pPr>
      <w:r>
        <w:t xml:space="preserve">Annotation (not a stage) — Pathway context</w:t>
      </w:r>
    </w:p>
    <w:p>
      <w:pPr>
        <w:spacing w:after="140" w:line="276"/>
      </w:pPr>
      <w:r>
        <w:rPr>
          <w:rFonts w:ascii="Arial" w:cs="Arial" w:eastAsia="Arial" w:hAnsi="Arial"/>
        </w:rPr>
        <w:t xml:space="preserve">Carry </w:t>
      </w:r>
      <w:r>
        <w:rPr>
          <w:rFonts w:ascii="Consolas" w:cs="Consolas" w:eastAsia="Consolas" w:hAnsi="Consolas"/>
          <w:color w:val="1F3A5F"/>
          <w:sz w:val="19"/>
          <w:szCs w:val="19"/>
        </w:rPr>
        <w:t xml:space="preserve">Target.pathways</w:t>
      </w:r>
      <w:r>
        <w:rPr>
          <w:rFonts w:ascii="Arial" w:cs="Arial" w:eastAsia="Arial" w:hAnsi="Arial"/>
        </w:rPr>
        <w:t xml:space="preserve"> through to the target card as context only — not a filter or score, per the decision to keep systems-level analysis in the separate app.</w:t>
      </w:r>
    </w:p>
    <w:p>
      <w:pPr>
        <w:spacing w:after="50" w:line="264"/>
        <w:ind w:left="60"/>
      </w:pPr>
      <w:r>
        <w:rPr>
          <w:rFonts w:ascii="Arial" w:cs="Arial" w:eastAsia="Arial" w:hAnsi="Arial"/>
          <w:b/>
          <w:bCs/>
          <w:color w:val="1F3A5F"/>
          <w:sz w:val="19"/>
          <w:szCs w:val="19"/>
        </w:rPr>
        <w:t xml:space="preserve">Status: </w:t>
      </w:r>
      <w:r>
        <w:rPr>
          <w:rFonts w:ascii="Arial" w:cs="Arial" w:eastAsia="Arial" w:hAnsi="Arial"/>
          <w:b/>
          <w:bCs/>
          <w:color w:val="FFFFFF"/>
          <w:sz w:val="16"/>
          <w:szCs w:val="16"/>
          <w:shd w:fill="15803D" w:color="auto" w:val="clear"/>
        </w:rPr>
        <w:t xml:space="preserve">  BUILD NOW  </w:t>
      </w:r>
      <w:r>
        <w:rPr>
          <w:rFonts w:ascii="Arial" w:cs="Arial" w:eastAsia="Arial" w:hAnsi="Arial"/>
        </w:rPr>
        <w:t xml:space="preserve"> as annotation</w:t>
      </w:r>
    </w:p>
    <w:p>
      <w:pPr>
        <w:pStyle w:val="Heading1"/>
      </w:pPr>
      <w:r>
        <w:t xml:space="preserve">6. Filtering &amp; missing-data logic</w:t>
      </w:r>
    </w:p>
    <w:p>
      <w:pPr>
        <w:spacing w:after="140" w:line="276"/>
      </w:pPr>
      <w:r>
        <w:rPr>
          <w:rFonts w:ascii="Arial" w:cs="Arial" w:eastAsia="Arial" w:hAnsi="Arial"/>
        </w:rPr>
        <w:t xml:space="preserve">Two filter types, kept strictly separate: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  <w:b/>
          <w:bCs/>
        </w:rPr>
        <w:t xml:space="preserve">Hard filters (narrow). </w:t>
      </w:r>
      <w:r>
        <w:rPr>
          <w:rFonts w:ascii="Arial" w:cs="Arial" w:eastAsia="Arial" w:hAnsi="Arial"/>
        </w:rPr>
        <w:t xml:space="preserve">A stage with a threshold drops genes below it and contributes to the wide→narrow counts. </w:t>
      </w:r>
      <w:r>
        <w:rPr>
          <w:rFonts w:ascii="Arial" w:cs="Arial" w:eastAsia="Arial" w:hAnsi="Arial"/>
          <w:b/>
          <w:bCs/>
        </w:rPr>
        <w:t xml:space="preserve">A gene with a null value for that axis is NOT dropped</w:t>
      </w:r>
      <w:r>
        <w:rPr>
          <w:rFonts w:ascii="Arial" w:cs="Arial" w:eastAsia="Arial" w:hAnsi="Arial"/>
        </w:rPr>
        <w:t xml:space="preserve"> — it is carried as “unknown” unless the user explicitly enables “require this axis present”.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  <w:b/>
          <w:bCs/>
        </w:rPr>
        <w:t xml:space="preserve">Soft scores (rank). </w:t>
      </w:r>
      <w:r>
        <w:rPr>
          <w:rFonts w:ascii="Arial" w:cs="Arial" w:eastAsia="Arial" w:hAnsi="Arial"/>
        </w:rPr>
        <w:t xml:space="preserve">Survivors are scored by a weighted composite (§7). Null axes are excluded from that gene's mean, not counted as zero.</w:t>
      </w:r>
    </w:p>
    <w:tbl>
      <w:tblPr>
        <w:tblW w:type="dxa" w:w="9360"/>
        <w:tblBorders>
          <w:top w:val="none"/>
          <w:left w:val="single" w:color="B45309" w:sz="18"/>
          <w:bottom w:val="none"/>
          <w:right w:val="none"/>
          <w:insideH w:val="none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FF7E6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Replace the ?? 0 accessor</w:t>
            </w:r>
          </w:p>
          <w:p>
            <w:pPr>
              <w:spacing w:after="140" w:line="276"/>
            </w:pPr>
            <w:r>
              <w:rPr>
                <w:rFonts w:ascii="Arial" w:cs="Arial" w:eastAsia="Arial" w:hAnsi="Arial"/>
              </w:rPr>
              <w:t xml:space="preserve">Change each stage accessor from </w:t>
            </w: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(t) =&gt; t.x ?? 0</w:t>
            </w:r>
            <w:r>
              <w:rPr>
                <w:rFonts w:ascii="Arial" w:cs="Arial" w:eastAsia="Arial" w:hAnsi="Arial"/>
              </w:rPr>
              <w:t xml:space="preserve"> to return </w:t>
            </w: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number | null</w:t>
            </w:r>
            <w:r>
              <w:rPr>
                <w:rFonts w:ascii="Arial" w:cs="Arial" w:eastAsia="Arial" w:hAnsi="Arial"/>
              </w:rPr>
              <w:t xml:space="preserve">. Filters skip nulls; normalization and the composite skip nulls. Add a per-gene </w:t>
            </w:r>
            <w:r>
              <w:rPr>
                <w:rFonts w:ascii="Arial" w:cs="Arial" w:eastAsia="Arial" w:hAnsi="Arial"/>
                <w:b/>
                <w:bCs/>
              </w:rPr>
              <w:t xml:space="preserve">data-completeness</w:t>
            </w:r>
            <w:r>
              <w:rPr>
                <w:rFonts w:ascii="Arial" w:cs="Arial" w:eastAsia="Arial" w:hAnsi="Arial"/>
              </w:rPr>
              <w:t xml:space="preserve"> value = fraction of axes present, surfaced in the UI so users see how much evidence backs each rank.</w:t>
            </w:r>
          </w:p>
        </w:tc>
      </w:tr>
    </w:tbl>
    <w:p>
      <w:pPr>
        <w:pStyle w:val="Heading1"/>
      </w:pPr>
      <w:r>
        <w:t xml:space="preserve">7. Scoring the survivors</w:t>
      </w:r>
    </w:p>
    <w:p>
      <w:pPr>
        <w:spacing w:after="140" w:line="276"/>
      </w:pPr>
      <w:r>
        <w:rPr>
          <w:rFonts w:ascii="Arial" w:cs="Arial" w:eastAsia="Arial" w:hAnsi="Arial"/>
        </w:rPr>
        <w:t xml:space="preserve">Replace the static GET sort with a transparent, tunable composite: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  <w:b/>
          <w:bCs/>
        </w:rPr>
        <w:t xml:space="preserve">Rank-normalize</w:t>
      </w:r>
      <w:r>
        <w:rPr>
          <w:rFonts w:ascii="Arial" w:cs="Arial" w:eastAsia="Arial" w:hAnsi="Arial"/>
        </w:rPr>
        <w:t xml:space="preserve"> each soft axis across the current survivor set (percentile rank, 0–1), robust to skew.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  <w:b/>
          <w:bCs/>
        </w:rPr>
        <w:t xml:space="preserve">Weighted harmonic mean</w:t>
      </w:r>
      <w:r>
        <w:rPr>
          <w:rFonts w:ascii="Arial" w:cs="Arial" w:eastAsia="Arial" w:hAnsi="Arial"/>
        </w:rPr>
        <w:t xml:space="preserve"> of the present, normalized axes — rewards genes supported across multiple axes over one extreme spike. Weights come from the active profile.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  <w:b/>
          <w:bCs/>
        </w:rPr>
        <w:t xml:space="preserve">Tractability gate</w:t>
      </w:r>
      <w:r>
        <w:rPr>
          <w:rFonts w:ascii="Arial" w:cs="Arial" w:eastAsia="Arial" w:hAnsi="Arial"/>
        </w:rPr>
        <w:t xml:space="preserve"> from druggability tier; </w:t>
      </w:r>
      <w:r>
        <w:rPr>
          <w:rFonts w:ascii="Arial" w:cs="Arial" w:eastAsia="Arial" w:hAnsi="Arial"/>
          <w:b/>
          <w:bCs/>
        </w:rPr>
        <w:t xml:space="preserve">saturation penalty</w:t>
      </w:r>
      <w:r>
        <w:rPr>
          <w:rFonts w:ascii="Arial" w:cs="Arial" w:eastAsia="Arial" w:hAnsi="Arial"/>
        </w:rPr>
        <w:t xml:space="preserve"> from trial count when the objective is novelty.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  <w:b/>
          <w:bCs/>
        </w:rPr>
        <w:t xml:space="preserve">Tie-break / display</w:t>
      </w:r>
      <w:r>
        <w:rPr>
          <w:rFonts w:ascii="Arial" w:cs="Arial" w:eastAsia="Arial" w:hAnsi="Arial"/>
        </w:rPr>
        <w:t xml:space="preserve"> the existing GET score alongside the new composite, so the change is auditable.</w:t>
      </w:r>
    </w:p>
    <w:p>
      <w:pPr>
        <w:spacing w:after="140" w:line="276"/>
      </w:pPr>
      <w:r>
        <w:rPr>
          <w:rFonts w:ascii="Arial" w:cs="Arial" w:eastAsia="Arial" w:hAnsi="Arial"/>
        </w:rPr>
        <w:t xml:space="preserve">Persist weights with the run (the </w:t>
      </w:r>
      <w:r>
        <w:rPr>
          <w:rFonts w:ascii="Consolas" w:cs="Consolas" w:eastAsia="Consolas" w:hAnsi="Consolas"/>
          <w:color w:val="1F3A5F"/>
          <w:sz w:val="19"/>
          <w:szCs w:val="19"/>
        </w:rPr>
        <w:t xml:space="preserve">weights</w:t>
      </w:r>
      <w:r>
        <w:rPr>
          <w:rFonts w:ascii="Arial" w:cs="Arial" w:eastAsia="Arial" w:hAnsi="Arial"/>
        </w:rPr>
        <w:t xml:space="preserve"> column already exists on the snapshot). Provide objective presets — e.g. “novel whitespace” (saturation penalty on) vs “fast-follow” (validated targets rewarded).</w:t>
      </w:r>
    </w:p>
    <w:p>
      <w:pPr>
        <w:spacing w:after="14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↳ source: </w:t>
      </w:r>
      <w:r>
        <w:rPr>
          <w:rFonts w:ascii="Consolas" w:cs="Consolas" w:eastAsia="Consolas" w:hAnsi="Consolas"/>
          <w:color w:val="2563EB"/>
          <w:sz w:val="18"/>
          <w:szCs w:val="18"/>
        </w:rPr>
        <w:t xml:space="preserve">types.ts:164–169 (GETWeights) · target_ranking_snapshots.weights</w:t>
      </w:r>
    </w:p>
    <w:p>
      <w:pPr>
        <w:pStyle w:val="Heading1"/>
      </w:pPr>
      <w:r>
        <w:t xml:space="preserve">8. Output &amp; interactions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</w:rPr>
        <w:t xml:space="preserve">Narrowing counts</w:t>
      </w:r>
      <w:r>
        <w:rPr>
          <w:rFonts w:ascii="Arial" w:cs="Arial" w:eastAsia="Arial" w:hAnsi="Arial"/>
        </w:rPr>
        <w:t xml:space="preserve"> per hard filter (wide→narrow), as the current UI already shows — keep and extend.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</w:rPr>
        <w:t xml:space="preserve">Ranked shortlist</w:t>
      </w:r>
      <w:r>
        <w:rPr>
          <w:rFonts w:ascii="Arial" w:cs="Arial" w:eastAsia="Arial" w:hAnsi="Arial"/>
        </w:rPr>
        <w:t xml:space="preserve"> with the composite score, GET score, and per-axis chips.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</w:rPr>
        <w:t xml:space="preserve">Per-gene explainability</w:t>
      </w:r>
      <w:r>
        <w:rPr>
          <w:rFonts w:ascii="Arial" w:cs="Arial" w:eastAsia="Arial" w:hAnsi="Arial"/>
        </w:rPr>
        <w:t xml:space="preserve"> — which stages it passed/failed and its contributing axis scores; this populates the target card.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</w:rPr>
        <w:t xml:space="preserve">Data-completeness indicator</w:t>
      </w:r>
      <w:r>
        <w:rPr>
          <w:rFonts w:ascii="Arial" w:cs="Arial" w:eastAsia="Arial" w:hAnsi="Arial"/>
        </w:rPr>
        <w:t xml:space="preserve"> per gene (§6).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</w:rPr>
        <w:t xml:space="preserve">Pin / override — wire the existing </w:t>
      </w:r>
      <w:r>
        <w:rPr>
          <w:rFonts w:ascii="Consolas" w:cs="Consolas" w:eastAsia="Consolas" w:hAnsi="Consolas"/>
          <w:color w:val="1F3A5F"/>
          <w:sz w:val="19"/>
          <w:szCs w:val="19"/>
        </w:rPr>
        <w:t xml:space="preserve">Target.usefulness</w:t>
      </w:r>
      <w:r>
        <w:rPr>
          <w:rFonts w:ascii="Arial" w:cs="Arial" w:eastAsia="Arial" w:hAnsi="Arial"/>
        </w:rPr>
        <w:t xml:space="preserve"> field (useful | not-useful | pinned) so a researcher can force-keep or drop a gene regardless of score.</w:t>
      </w:r>
    </w:p>
    <w:p>
      <w:pPr>
        <w:spacing w:after="14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↳ source: </w:t>
      </w:r>
      <w:r>
        <w:rPr>
          <w:rFonts w:ascii="Consolas" w:cs="Consolas" w:eastAsia="Consolas" w:hAnsi="Consolas"/>
          <w:color w:val="2563EB"/>
          <w:sz w:val="18"/>
          <w:szCs w:val="18"/>
        </w:rPr>
        <w:t xml:space="preserve">types.ts:84 (usefulness) · FunnelView.tsx:33–42 (extend the memoized pipeline)</w:t>
      </w:r>
    </w:p>
    <w:p>
      <w:pPr>
        <w:pStyle w:val="Heading2"/>
      </w:pPr>
      <w:r>
        <w:t xml:space="preserve">8.1 Persisting a funnel run</w:t>
      </w:r>
    </w:p>
    <w:p>
      <w:pPr>
        <w:spacing w:after="140" w:line="276"/>
      </w:pPr>
      <w:r>
        <w:rPr>
          <w:rFonts w:ascii="Arial" w:cs="Arial" w:eastAsia="Arial" w:hAnsi="Arial"/>
        </w:rPr>
        <w:t xml:space="preserve">Saving a run writes a new snapshot capturing the </w:t>
      </w:r>
      <w:r>
        <w:rPr>
          <w:rFonts w:ascii="Arial" w:cs="Arial" w:eastAsia="Arial" w:hAnsi="Arial"/>
          <w:b/>
          <w:bCs/>
        </w:rPr>
        <w:t xml:space="preserve">config</w:t>
      </w:r>
      <w:r>
        <w:rPr>
          <w:rFonts w:ascii="Arial" w:cs="Arial" w:eastAsia="Arial" w:hAnsi="Arial"/>
        </w:rPr>
        <w:t xml:space="preserve"> (enabled stages, thresholds, weights, objective preset) and the </w:t>
      </w:r>
      <w:r>
        <w:rPr>
          <w:rFonts w:ascii="Arial" w:cs="Arial" w:eastAsia="Arial" w:hAnsi="Arial"/>
          <w:b/>
          <w:bCs/>
        </w:rPr>
        <w:t xml:space="preserve">resulting shortlist</w:t>
      </w:r>
      <w:r>
        <w:rPr>
          <w:rFonts w:ascii="Arial" w:cs="Arial" w:eastAsia="Arial" w:hAnsi="Arial"/>
        </w:rPr>
        <w:t xml:space="preserve">, so runs are reproducible and comparable. Use the existing save path; add an audit entry (</w:t>
      </w:r>
      <w:r>
        <w:rPr>
          <w:rFonts w:ascii="Consolas" w:cs="Consolas" w:eastAsia="Consolas" w:hAnsi="Consolas"/>
          <w:color w:val="1F3A5F"/>
          <w:sz w:val="19"/>
          <w:szCs w:val="19"/>
        </w:rPr>
        <w:t xml:space="preserve">funnel_run</w:t>
      </w:r>
      <w:r>
        <w:rPr>
          <w:rFonts w:ascii="Arial" w:cs="Arial" w:eastAsia="Arial" w:hAnsi="Arial"/>
        </w:rPr>
        <w:t xml:space="preserve">).</w:t>
      </w:r>
    </w:p>
    <w:p>
      <w:pPr>
        <w:spacing w:after="14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↳ source: </w:t>
      </w:r>
      <w:r>
        <w:rPr>
          <w:rFonts w:ascii="Consolas" w:cs="Consolas" w:eastAsia="Consolas" w:hAnsi="Consolas"/>
          <w:color w:val="2563EB"/>
          <w:sz w:val="18"/>
          <w:szCs w:val="18"/>
        </w:rPr>
        <w:t xml:space="preserve">oracleService.ts saveSnapshot:71 · audit_log</w:t>
      </w:r>
    </w:p>
    <w:p>
      <w:pPr>
        <w:pStyle w:val="Heading1"/>
      </w:pPr>
      <w:r>
        <w:t xml:space="preserve">9. Extension slots (future axes)</w:t>
      </w:r>
    </w:p>
    <w:p>
      <w:pPr>
        <w:spacing w:after="140" w:line="276"/>
      </w:pPr>
      <w:r>
        <w:rPr>
          <w:rFonts w:ascii="Arial" w:cs="Arial" w:eastAsia="Arial" w:hAnsi="Arial"/>
        </w:rPr>
        <w:t xml:space="preserve">Design the stage list as a </w:t>
      </w:r>
      <w:r>
        <w:rPr>
          <w:rFonts w:ascii="Arial" w:cs="Arial" w:eastAsia="Arial" w:hAnsi="Arial"/>
          <w:b/>
          <w:bCs/>
        </w:rPr>
        <w:t xml:space="preserve">registry</w:t>
      </w:r>
      <w:r>
        <w:rPr>
          <w:rFonts w:ascii="Arial" w:cs="Arial" w:eastAsia="Arial" w:hAnsi="Arial"/>
        </w:rPr>
        <w:t xml:space="preserve"> so adding an axis later requires no core changes — only (a) the harvest layer storing the new field, and (b) one new registry entry. Reserve these slots now, disabled/hidden until data exists: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060"/>
        <w:gridCol w:w="230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Future axis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Will read from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Functional dependency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DepMap (harvested → EVIDENCE/scores)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  <w:shd w:fill="6B7280" w:color="auto" w:val="clear"/>
              </w:rPr>
              <w:t xml:space="preserve">  LATER  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Safety / constraint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gnomAD pLI / LOEUF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  <w:shd w:fill="6B7280" w:color="auto" w:val="clear"/>
              </w:rPr>
              <w:t xml:space="preserve">  LATER  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Tumor-vs-normal expression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GEO / TCGA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  <w:shd w:fill="6B7280" w:color="auto" w:val="clear"/>
              </w:rPr>
              <w:t xml:space="preserve">  LATER  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Mechanism direction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COSMIC / OncoKB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  <w:shd w:fill="6B7280" w:color="auto" w:val="clear"/>
              </w:rPr>
              <w:t xml:space="preserve">  LATER  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Variant→drug actionability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OncoKB / CIViC / DGIdb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  <w:shd w:fill="6B7280" w:color="auto" w:val="clear"/>
              </w:rPr>
              <w:t xml:space="preserve">  LATER  </w:t>
            </w:r>
          </w:p>
        </w:tc>
      </w:tr>
    </w:tbl>
    <w:p>
      <w:pPr>
        <w:spacing w:after="140" w:line="276"/>
      </w:pPr>
      <w:r>
        <w:rPr>
          <w:rFonts w:ascii="Arial" w:cs="Arial" w:eastAsia="Arial" w:hAnsi="Arial"/>
        </w:rPr>
        <w:t xml:space="preserve">Each registry entry declares: </w:t>
      </w:r>
      <w:r>
        <w:rPr>
          <w:rFonts w:ascii="Consolas" w:cs="Consolas" w:eastAsia="Consolas" w:hAnsi="Consolas"/>
          <w:color w:val="1F3A5F"/>
          <w:sz w:val="19"/>
          <w:szCs w:val="19"/>
        </w:rPr>
        <w:t xml:space="preserve">key, label, read path, filterType (hard|soft), direction, defaultWeight, missingPolicy</w:t>
      </w:r>
      <w:r>
        <w:rPr>
          <w:rFonts w:ascii="Arial" w:cs="Arial" w:eastAsia="Arial" w:hAnsi="Arial"/>
        </w:rPr>
        <w:t xml:space="preserve">. The funnel engine iterates the registry; it never names an axis directly.</w:t>
      </w:r>
    </w:p>
    <w:p>
      <w:pPr>
        <w:pStyle w:val="Heading1"/>
      </w:pPr>
      <w:r>
        <w:t xml:space="preserve">10. Explicitly out of scope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</w:rPr>
        <w:t xml:space="preserve">STRING-DB / WINNER network centrality</w:t>
      </w:r>
      <w:r>
        <w:rPr>
          <w:rFonts w:ascii="Arial" w:cs="Arial" w:eastAsia="Arial" w:hAnsi="Arial"/>
        </w:rPr>
        <w:t xml:space="preserve"> — deferred to the separate downstream app; not a funnel stage.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</w:rPr>
        <w:t xml:space="preserve">Live external API calls from the funnel</w:t>
      </w:r>
      <w:r>
        <w:rPr>
          <w:rFonts w:ascii="Arial" w:cs="Arial" w:eastAsia="Arial" w:hAnsi="Arial"/>
        </w:rPr>
        <w:t xml:space="preserve"> — all fetching is the harvest layer's job.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</w:rPr>
        <w:t xml:space="preserve">New harvest sources in this build</w:t>
      </w:r>
      <w:r>
        <w:rPr>
          <w:rFonts w:ascii="Arial" w:cs="Arial" w:eastAsia="Arial" w:hAnsi="Arial"/>
        </w:rPr>
        <w:t xml:space="preserve"> — the five future axes above are slots only; harvesting them is later work.</w:t>
      </w:r>
    </w:p>
    <w:p>
      <w:pPr>
        <w:pStyle w:val="Heading1"/>
      </w:pPr>
      <w:r>
        <w:t xml:space="preserve">11. Definition of done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</w:rPr>
        <w:t xml:space="preserve">Funnel loads a selected snapshot's genes from Oracle (scores + evidence), no live API calls.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</w:rPr>
        <w:t xml:space="preserve">Six stages configured via a registry; each reads its mapped stored field.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</w:rPr>
        <w:t xml:space="preserve">Missing values handled as unknown (no </w:t>
      </w:r>
      <w:r>
        <w:rPr>
          <w:rFonts w:ascii="Consolas" w:cs="Consolas" w:eastAsia="Consolas" w:hAnsi="Consolas"/>
          <w:color w:val="1F3A5F"/>
          <w:sz w:val="19"/>
          <w:szCs w:val="19"/>
        </w:rPr>
        <w:t xml:space="preserve">?? 0</w:t>
      </w:r>
      <w:r>
        <w:rPr>
          <w:rFonts w:ascii="Arial" w:cs="Arial" w:eastAsia="Arial" w:hAnsi="Arial"/>
        </w:rPr>
        <w:t xml:space="preserve">); per-gene data-completeness shown.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</w:rPr>
        <w:t xml:space="preserve">Hard filters narrow with visible wide→narrow counts; soft composite ranks survivors with tunable weights + presets.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</w:rPr>
        <w:t xml:space="preserve">Per-gene explainability and pin/override (usefulness) working.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</w:rPr>
        <w:t xml:space="preserve">A funnel run can be saved as a reproducible snapshot (config + shortlist + audit entry).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</w:rPr>
        <w:t xml:space="preserve">Adding a disabled future-axis registry entry requires no engine changes.</w:t>
      </w:r>
    </w:p>
    <w:p>
      <w:pPr>
        <w:pStyle w:val="Heading1"/>
      </w:pPr>
      <w:r>
        <w:t xml:space="preserve">12. Summary</w:t>
      </w:r>
    </w:p>
    <w:p>
      <w:pPr>
        <w:spacing w:after="140" w:line="276"/>
      </w:pPr>
      <w:r>
        <w:rPr>
          <w:rFonts w:ascii="Arial" w:cs="Arial" w:eastAsia="Arial" w:hAnsi="Arial"/>
        </w:rPr>
        <w:t xml:space="preserve">Evolve </w:t>
      </w:r>
      <w:r>
        <w:rPr>
          <w:rFonts w:ascii="Consolas" w:cs="Consolas" w:eastAsia="Consolas" w:hAnsi="Consolas"/>
          <w:color w:val="1F3A5F"/>
          <w:sz w:val="19"/>
          <w:szCs w:val="19"/>
        </w:rPr>
        <w:t xml:space="preserve">FunnelView.tsx</w:t>
      </w:r>
      <w:r>
        <w:rPr>
          <w:rFonts w:ascii="Arial" w:cs="Arial" w:eastAsia="Arial" w:hAnsi="Arial"/>
        </w:rPr>
        <w:t xml:space="preserve"> into a DB-backed, registry-driven funnel over the six axes already stored in Oracle: genetics, mutation, expression/specificity, druggability, clinical, and literature. Keep the pure </w:t>
      </w:r>
      <w:r>
        <w:rPr>
          <w:rFonts w:ascii="Consolas" w:cs="Consolas" w:eastAsia="Consolas" w:hAnsi="Consolas"/>
          <w:color w:val="1F3A5F"/>
          <w:sz w:val="19"/>
          <w:szCs w:val="19"/>
        </w:rPr>
        <w:t xml:space="preserve">(features, config)</w:t>
      </w:r>
      <w:r>
        <w:rPr>
          <w:rFonts w:ascii="Arial" w:cs="Arial" w:eastAsia="Arial" w:hAnsi="Arial"/>
        </w:rPr>
        <w:t xml:space="preserve"> compute model, fix the missing-as-zero bug, add a normalized weighted-harmonic composite with objective presets, and make every run reproducible. Reserve disabled slots for the future axes so the next steps drop in cleanly — without ever calling an external API from the funnel itself.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rFonts w:ascii="Arial" w:cs="Arial" w:eastAsia="Arial" w:hAnsi="Arial"/>
        <w:color w:val="6B7280"/>
        <w:sz w:val="16"/>
        <w:szCs w:val="16"/>
      </w:rPr>
      <w:t xml:space="preserve">Evidence-backed · code-grounded</w:t>
    </w:r>
    <w:r>
      <w:rPr>
        <w:rFonts w:ascii="Arial" w:cs="Arial" w:eastAsia="Arial" w:hAnsi="Arial"/>
        <w:color w:val="6B7280"/>
        <w:sz w:val="16"/>
        <w:szCs w:val="16"/>
      </w:rPr>
      <w:t xml:space="preserve">	Page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5DEE8" w:sz="4" w:space="4"/>
      </w:pBdr>
      <w:tabs>
        <w:tab w:val="right" w:pos="9360"/>
      </w:tabs>
    </w:pPr>
    <w:r>
      <w:rPr>
        <w:rFonts w:ascii="Arial" w:cs="Arial" w:eastAsia="Arial" w:hAnsi="Arial"/>
        <w:b/>
        <w:bCs/>
        <w:color w:val="2563EB"/>
        <w:sz w:val="16"/>
        <w:szCs w:val="16"/>
      </w:rPr>
      <w:t xml:space="preserve">Disease2Target</w:t>
    </w:r>
    <w:r>
      <w:rPr>
        <w:rFonts w:ascii="Arial" w:cs="Arial" w:eastAsia="Arial" w:hAnsi="Arial"/>
        <w:color w:val="6B7280"/>
        <w:sz w:val="16"/>
        <w:szCs w:val="16"/>
      </w:rPr>
      <w:t xml:space="preserve">	Funnel Feature — Build Spec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9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D5DEE8" w:sz="4" w:space="4"/>
      </w:pBdr>
      <w:spacing w:after="160" w:before="320"/>
      <w:outlineLvl w:val="0"/>
    </w:pPr>
    <w:rPr>
      <w:rFonts w:ascii="Arial" w:cs="Arial" w:eastAsia="Arial" w:hAnsi="Arial"/>
      <w:b/>
      <w:bCs/>
      <w:color w:val="1F3A5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563EB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37415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Funnel Feature — Build Spec</dc:title>
  <dc:creator>Disease2Target</dc:creator>
  <cp:lastModifiedBy>Un-named</cp:lastModifiedBy>
  <cp:revision>1</cp:revision>
  <dcterms:created xsi:type="dcterms:W3CDTF">2026-06-22T03:05:19.255Z</dcterms:created>
  <dcterms:modified xsi:type="dcterms:W3CDTF">2026-06-22T03:05:19.255Z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