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  <w:r>
        <w:rPr>
          <w:rFonts w:ascii="Arial" w:cs="Arial" w:eastAsia="Arial" w:hAnsi="Arial"/>
          <w:b/>
          <w:bCs/>
          <w:color w:val="2563EB"/>
          <w:spacing w:val="60"/>
          <w:sz w:val="26"/>
          <w:szCs w:val="26"/>
        </w:rPr>
        <w:t xml:space="preserve">DISEASE2TARGET</w:t>
      </w:r>
    </w:p>
    <w:p>
      <w:pPr>
        <w:pBdr>
          <w:bottom w:val="single" w:color="2563EB" w:sz="6" w:space="6"/>
        </w:pBdr>
        <w:spacing w:after="4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AI-Powered Drug Target Prioritization</w:t>
      </w:r>
    </w:p>
    <w:p>
      <w:pPr>
        <w:spacing w:after="120" w:before="420"/>
      </w:pPr>
      <w:r>
        <w:rPr>
          <w:rFonts w:ascii="Arial" w:cs="Arial" w:eastAsia="Arial" w:hAnsi="Arial"/>
          <w:b/>
          <w:bCs/>
          <w:color w:val="1F3A5F"/>
          <w:sz w:val="52"/>
          <w:szCs w:val="52"/>
        </w:rPr>
        <w:t xml:space="preserve">Methodology &amp; Scoring</w:t>
      </w:r>
    </w:p>
    <w:p>
      <w:pPr>
        <w:spacing w:after="300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How genes are scored and ranked for target nomination — and why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Written for scientific review · every claim tied to source</w:t>
      </w:r>
    </w:p>
    <w:p>
      <w:pPr>
        <w:spacing w:after="40" w:before="24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Project owner: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Nikhil Kurmachalam</w:t>
      </w:r>
    </w:p>
    <w:p>
      <w:pPr>
        <w:spacing w:after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Demonstration disease: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Pancreatic adenocarcinoma (EFO_0002618)</w:t>
      </w:r>
    </w:p>
    <w:p>
      <w:r>
        <w:rPr>
          <w:rFonts w:ascii="Arial" w:cs="Arial" w:eastAsia="Arial" w:hAnsi="Arial"/>
          <w:color w:val="6B7280"/>
          <w:sz w:val="20"/>
          <w:szCs w:val="20"/>
        </w:rPr>
        <w:t xml:space="preserve">Generated: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2026-06-22  ·  grounded in repository source (file:line references throughout)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This document specifies </w:t>
      </w:r>
      <w:r>
        <w:rPr>
          <w:rFonts w:ascii="Arial" w:cs="Arial" w:eastAsia="Arial" w:hAnsi="Arial"/>
          <w:b/>
          <w:bCs/>
        </w:rPr>
        <w:t xml:space="preserve">how Disease2Target scores and ranks genes</w:t>
      </w:r>
      <w:r>
        <w:rPr>
          <w:rFonts w:ascii="Arial" w:cs="Arial" w:eastAsia="Arial" w:hAnsi="Arial"/>
        </w:rPr>
        <w:t xml:space="preserve"> for target nomination, and — critically — the </w:t>
      </w:r>
      <w:r>
        <w:rPr>
          <w:rFonts w:ascii="Arial" w:cs="Arial" w:eastAsia="Arial" w:hAnsi="Arial"/>
          <w:b/>
          <w:bCs/>
        </w:rPr>
        <w:t xml:space="preserve">evidence and reasoning</w:t>
      </w:r>
      <w:r>
        <w:rPr>
          <w:rFonts w:ascii="Arial" w:cs="Arial" w:eastAsia="Arial" w:hAnsi="Arial"/>
        </w:rPr>
        <w:t xml:space="preserve"> behind each scoring choice. It is written for scientific review: every formula is tied to its location in the code, and every weighting decision is justified or flagged as an open question.</w:t>
      </w:r>
    </w:p>
    <w:tbl>
      <w:tblPr>
        <w:tblW w:type="dxa" w:w="9360"/>
        <w:tblBorders>
          <w:top w:val="none"/>
          <w:left w:val="single" w:color="2563EB" w:sz="18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Scope claim (calibrated)</w:t>
            </w:r>
          </w:p>
          <w:p>
            <w:pPr>
              <w:spacing w:after="140" w:line="276"/>
            </w:pPr>
            <w:r>
              <w:rPr>
                <w:rFonts w:ascii="Arial" w:cs="Arial" w:eastAsia="Arial" w:hAnsi="Arial"/>
              </w:rPr>
              <w:t xml:space="preserve">Disease2Target performs </w:t>
            </w:r>
            <w:r>
              <w:rPr>
                <w:rFonts w:ascii="Arial" w:cs="Arial" w:eastAsia="Arial" w:hAnsi="Arial"/>
                <w:b/>
                <w:bCs/>
              </w:rPr>
              <w:t xml:space="preserve">target nomination</w:t>
            </w:r>
            <w:r>
              <w:rPr>
                <w:rFonts w:ascii="Arial" w:cs="Arial" w:eastAsia="Arial" w:hAnsi="Arial"/>
              </w:rPr>
              <w:t xml:space="preserve">: given everything currently known in public sources, it produces a transparent, reproducible ranking of candidate targets for a disease. It does </w:t>
            </w:r>
            <w:r>
              <w:rPr>
                <w:rFonts w:ascii="Arial" w:cs="Arial" w:eastAsia="Arial" w:hAnsi="Arial"/>
                <w:b/>
                <w:bCs/>
              </w:rPr>
              <w:t xml:space="preserve">not</w:t>
            </w:r>
            <w:r>
              <w:rPr>
                <w:rFonts w:ascii="Arial" w:cs="Arial" w:eastAsia="Arial" w:hAnsi="Arial"/>
              </w:rPr>
              <w:t xml:space="preserve"> claim to discover new biology, stratify patients, or establish causality — those require patient-level data outside the current scope. Framed as a nomination engine, the method is defensible; framed as primary discovery, it would not be.</w:t>
            </w:r>
          </w:p>
        </w:tc>
      </w:tr>
    </w:tbl>
    <w:p>
      <w:pPr>
        <w:pStyle w:val="Heading1"/>
      </w:pPr>
      <w:r>
        <w:t xml:space="preserve">2. Scoring philosophy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Three principles govern the design, chosen deliberately over a simpler single-number approach: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Transparency over black-box.</w:t>
      </w:r>
      <w:r>
        <w:rPr>
          <w:rFonts w:ascii="Arial" w:cs="Arial" w:eastAsia="Arial" w:hAnsi="Arial"/>
        </w:rPr>
        <w:t xml:space="preserve"> The ranking is an explicit weighted rubric, not a learned model. A reviewer can read why any gene ranks where it does. This is a stated product constraint.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↳ source: </w:t>
      </w:r>
      <w:r>
        <w:rPr>
          <w:rFonts w:ascii="Consolas" w:cs="Consolas" w:eastAsia="Consolas" w:hAnsi="Consolas"/>
          <w:color w:val="2563EB"/>
          <w:sz w:val="18"/>
          <w:szCs w:val="18"/>
        </w:rPr>
        <w:t xml:space="preserve">docs/PLAN_Target_Prioritization.md §5 (ML/foundation-model scoring explicitly out of scope)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Multiple axes, not one mush.</w:t>
      </w:r>
      <w:r>
        <w:rPr>
          <w:rFonts w:ascii="Arial" w:cs="Arial" w:eastAsia="Arial" w:hAnsi="Arial"/>
        </w:rPr>
        <w:t xml:space="preserve"> Evidence of disease relevance, tractability, and clinical maturity mean different things and are kept conceptually distinct rather than collapsed into one undifferentiated sum.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Genetics weighted highest.</w:t>
      </w:r>
      <w:r>
        <w:rPr>
          <w:rFonts w:ascii="Arial" w:cs="Arial" w:eastAsia="Arial" w:hAnsi="Arial"/>
        </w:rPr>
        <w:t xml:space="preserve"> Among evidence types, genetic association is closest to causal, so it carries the largest weight in the composite — consistent with established target-validation practice (e.g. Open Targets).</w:t>
      </w:r>
    </w:p>
    <w:p>
      <w:pPr>
        <w:pStyle w:val="Heading1"/>
      </w:pPr>
      <w:r>
        <w:t xml:space="preserve">3. The GET Score (current ranking)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The live ranking is the </w:t>
      </w:r>
      <w:r>
        <w:rPr>
          <w:rFonts w:ascii="Arial" w:cs="Arial" w:eastAsia="Arial" w:hAnsi="Arial"/>
          <w:b/>
          <w:bCs/>
        </w:rPr>
        <w:t xml:space="preserve">GET Score</w:t>
      </w:r>
      <w:r>
        <w:rPr>
          <w:rFonts w:ascii="Arial" w:cs="Arial" w:eastAsia="Arial" w:hAnsi="Arial"/>
        </w:rPr>
        <w:t xml:space="preserve">, a weighted sum of three Open Targets-derived sub-scores: </w:t>
      </w:r>
      <w:r>
        <w:rPr>
          <w:rFonts w:ascii="Arial" w:cs="Arial" w:eastAsia="Arial" w:hAnsi="Arial"/>
          <w:b/>
          <w:bCs/>
        </w:rPr>
        <w:t xml:space="preserve">G</w:t>
      </w:r>
      <w:r>
        <w:rPr>
          <w:rFonts w:ascii="Arial" w:cs="Arial" w:eastAsia="Arial" w:hAnsi="Arial"/>
        </w:rPr>
        <w:t xml:space="preserve">enetic, </w:t>
      </w:r>
      <w:r>
        <w:rPr>
          <w:rFonts w:ascii="Arial" w:cs="Arial" w:eastAsia="Arial" w:hAnsi="Arial"/>
          <w:b/>
          <w:bCs/>
        </w:rPr>
        <w:t xml:space="preserve">E</w:t>
      </w:r>
      <w:r>
        <w:rPr>
          <w:rFonts w:ascii="Arial" w:cs="Arial" w:eastAsia="Arial" w:hAnsi="Arial"/>
        </w:rPr>
        <w:t xml:space="preserve">xpression, and </w:t>
      </w:r>
      <w:r>
        <w:rPr>
          <w:rFonts w:ascii="Arial" w:cs="Arial" w:eastAsia="Arial" w:hAnsi="Arial"/>
          <w:b/>
          <w:bCs/>
        </w:rPr>
        <w:t xml:space="preserve">T</w:t>
      </w:r>
      <w:r>
        <w:rPr>
          <w:rFonts w:ascii="Arial" w:cs="Arial" w:eastAsia="Arial" w:hAnsi="Arial"/>
        </w:rPr>
        <w:t xml:space="preserve">ractability (“Target”).</w:t>
      </w:r>
    </w:p>
    <w:p>
      <w:pPr>
        <w:pStyle w:val="Heading2"/>
      </w:pPr>
      <w:r>
        <w:t xml:space="preserve">3.1 Formula</w:t>
      </w:r>
    </w:p>
    <w:tbl>
      <w:tblPr>
        <w:tblW w:type="dxa" w:w="9360"/>
        <w:tblBorders>
          <w:top w:val="none"/>
          <w:left w:val="single" w:color="2563EB" w:sz="18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 Score</w:t>
            </w:r>
          </w:p>
          <w:p>
            <w:pPr>
              <w:spacing w:after="140" w:line="276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GET = (G × wG) + (E × wE) + (T × wT)</w:t>
            </w:r>
          </w:p>
          <w:p>
            <w:pPr>
              <w:spacing w:after="140" w:line="276"/>
            </w:pPr>
            <w:r>
              <w:rPr>
                <w:rFonts w:ascii="Arial" w:cs="Arial" w:eastAsia="Arial" w:hAnsi="Arial"/>
              </w:rPr>
              <w:t xml:space="preserve">Live default weights in code: </w:t>
            </w:r>
            <w:r>
              <w:rPr>
                <w:rFonts w:ascii="Arial" w:cs="Arial" w:eastAsia="Arial" w:hAnsi="Arial"/>
                <w:b/>
                <w:bCs/>
              </w:rPr>
              <w:t xml:space="preserve">wG = 0.45, wE = 0.25, wT = 0.30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↳ source: </w:t>
      </w:r>
      <w:r>
        <w:rPr>
          <w:rFonts w:ascii="Consolas" w:cs="Consolas" w:eastAsia="Consolas" w:hAnsi="Consolas"/>
          <w:color w:val="2563EB"/>
          <w:sz w:val="18"/>
          <w:szCs w:val="18"/>
        </w:rPr>
        <w:t xml:space="preserve">index.tsx:4582–4585 (wG=0.45, wE=0.25, wT=0.30; getScore = g*wG + e*wE + tr*wT)</w:t>
      </w:r>
    </w:p>
    <w:tbl>
      <w:tblPr>
        <w:tblW w:type="dxa" w:w="9360"/>
        <w:tblBorders>
          <w:top w:val="none"/>
          <w:left w:val="single" w:color="B45309" w:sz="18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Flag: documented vs. implemented weights differ</w:t>
            </w:r>
          </w:p>
          <w:p>
            <w:pPr>
              <w:spacing w:after="140" w:line="276"/>
            </w:pPr>
            <w:r>
              <w:rPr>
                <w:rFonts w:ascii="Arial" w:cs="Arial" w:eastAsia="Arial" w:hAnsi="Arial"/>
              </w:rPr>
              <w:t xml:space="preserve">The README and an in-app tooltip state the formula as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G×0.50 + E×0.25 + T×0.25</w:t>
            </w:r>
            <w:r>
              <w:rPr>
                <w:rFonts w:ascii="Arial" w:cs="Arial" w:eastAsia="Arial" w:hAnsi="Arial"/>
              </w:rPr>
              <w:t xml:space="preserve">, but the live default in code is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G×0.45 + E×0.25 + T×0.30</w:t>
            </w:r>
            <w:r>
              <w:rPr>
                <w:rFonts w:ascii="Arial" w:cs="Arial" w:eastAsia="Arial" w:hAnsi="Arial"/>
              </w:rPr>
              <w:t xml:space="preserve">. These should be reconciled before review — either update the docs/UI to 0.45/0.25/0.30, or change the code default to 0.50/0.25/0.25. This document reports the </w:t>
            </w:r>
            <w:r>
              <w:rPr>
                <w:rFonts w:ascii="Arial" w:cs="Arial" w:eastAsia="Arial" w:hAnsi="Arial"/>
                <w:b/>
                <w:bCs/>
              </w:rPr>
              <w:t xml:space="preserve">implemented</w:t>
            </w:r>
            <w:r>
              <w:rPr>
                <w:rFonts w:ascii="Arial" w:cs="Arial" w:eastAsia="Arial" w:hAnsi="Arial"/>
              </w:rPr>
              <w:t xml:space="preserve"> value as ground truth.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↳ source: </w:t>
      </w:r>
      <w:r>
        <w:rPr>
          <w:rFonts w:ascii="Consolas" w:cs="Consolas" w:eastAsia="Consolas" w:hAnsi="Consolas"/>
          <w:color w:val="2563EB"/>
          <w:sz w:val="18"/>
          <w:szCs w:val="18"/>
        </w:rPr>
        <w:t xml:space="preserve">README.md:40 &amp; index.tsx:1690 (state 0.50/0.25/0.25) vs index.tsx:4585 (implements 0.45/0.25/0.30)</w:t>
      </w:r>
    </w:p>
    <w:p>
      <w:pPr>
        <w:pStyle w:val="Heading2"/>
      </w:pPr>
      <w:r>
        <w:t xml:space="preserve">3.2 The sub-scores</w:t>
      </w:r>
    </w:p>
    <w:p>
      <w:pPr>
        <w:pStyle w:val="Heading3"/>
      </w:pPr>
      <w:r>
        <w:t xml:space="preserve">Genetic (G)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Open Targets genetic-association evidence for the gene–disease pair. Weighted highest because genetic linkage is the strongest available proxy for causal involvement.</w:t>
      </w:r>
    </w:p>
    <w:p>
      <w:pPr>
        <w:pStyle w:val="Heading3"/>
      </w:pPr>
      <w:r>
        <w:t xml:space="preserve">Expression (E)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Expression / specificity evidence, combined with Protein Atlas tissue specificity (</w:t>
      </w:r>
      <w:r>
        <w:rPr>
          <w:rFonts w:ascii="Arial" w:cs="Arial" w:eastAsia="Arial" w:hAnsi="Arial"/>
          <w:b/>
          <w:bCs/>
        </w:rPr>
        <w:t xml:space="preserve">TAU</w:t>
      </w:r>
      <w:r>
        <w:rPr>
          <w:rFonts w:ascii="Arial" w:cs="Arial" w:eastAsia="Arial" w:hAnsi="Arial"/>
        </w:rPr>
        <w:t xml:space="preserve">, tissue and single-cell) and bimodality scores. Captures whether the gene's expression pattern is consistent with a disease role and a workable therapeutic window.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↳ source: </w:t>
      </w:r>
      <w:r>
        <w:rPr>
          <w:rFonts w:ascii="Consolas" w:cs="Consolas" w:eastAsia="Consolas" w:hAnsi="Consolas"/>
          <w:color w:val="2563EB"/>
          <w:sz w:val="18"/>
          <w:szCs w:val="18"/>
        </w:rPr>
        <w:t xml:space="preserve">types.ts:69–74 (tauTissue, tauSingleCell, bimodalityScores, combinedExpression) · ranking_scores columns</w:t>
      </w:r>
    </w:p>
    <w:p>
      <w:pPr>
        <w:pStyle w:val="Heading3"/>
      </w:pPr>
      <w:r>
        <w:t xml:space="preserve">Tractability (T) — discrete tiers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Tractability is mapped from Open Targets tractability into a discrete 0–1 ladder reflecting the highest modality tier reached (small molecule, antibody, or PROTAC):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rPr>
          <w:tblHeader/>
        </w:trPr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 reached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 value</w:t>
            </w:r>
          </w:p>
        </w:tc>
      </w:tr>
      <w:tr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Approved Drug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1.00</w:t>
            </w:r>
          </w:p>
        </w:tc>
      </w:tr>
      <w:tr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Advanced Clinical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0.85</w:t>
            </w:r>
          </w:p>
        </w:tc>
      </w:tr>
      <w:tr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 Clinical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0.70</w:t>
            </w:r>
          </w:p>
        </w:tc>
      </w:tr>
      <w:tr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Structure / High-Quality Ligand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0.55</w:t>
            </w:r>
          </w:p>
        </w:tc>
      </w:tr>
      <w:tr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 / Med-Quality Pocket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0.40</w:t>
            </w:r>
          </w:p>
        </w:tc>
      </w:tr>
      <w:tr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Druggable Family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</w:tr>
      <w:tr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 of the above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0.10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↳ source: </w:t>
      </w:r>
      <w:r>
        <w:rPr>
          <w:rFonts w:ascii="Consolas" w:cs="Consolas" w:eastAsia="Consolas" w:hAnsi="Consolas"/>
          <w:color w:val="2563EB"/>
          <w:sz w:val="18"/>
          <w:szCs w:val="18"/>
        </w:rPr>
        <w:t xml:space="preserve">index.tsx:1084 &amp; 6259 (tractability tier → T value)</w:t>
      </w:r>
    </w:p>
    <w:p>
      <w:pPr>
        <w:pStyle w:val="Heading2"/>
      </w:pPr>
      <w:r>
        <w:t xml:space="preserve">3.3 Weight profiles &amp; cohort presets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Weights are not fixed: they are a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GETWeights</w:t>
      </w:r>
      <w:r>
        <w:rPr>
          <w:rFonts w:ascii="Arial" w:cs="Arial" w:eastAsia="Arial" w:hAnsi="Arial"/>
        </w:rPr>
        <w:t xml:space="preserve"> object (genetic, expression, target, velocity) that the user can tune, and cohort presets re-emphasize axes for a research question. For example, an expression-led preset shifts weights to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G 0.30 / E 0.50 / T 0.20</w:t>
      </w:r>
      <w:r>
        <w:rPr>
          <w:rFonts w:ascii="Arial" w:cs="Arial" w:eastAsia="Arial" w:hAnsi="Arial"/>
        </w:rPr>
        <w:t xml:space="preserve">. The weights used for any saved ranking are persisted with the snapshot, so every result records the rubric that produced it.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↳ source: </w:t>
      </w:r>
      <w:r>
        <w:rPr>
          <w:rFonts w:ascii="Consolas" w:cs="Consolas" w:eastAsia="Consolas" w:hAnsi="Consolas"/>
          <w:color w:val="2563EB"/>
          <w:sz w:val="18"/>
          <w:szCs w:val="18"/>
        </w:rPr>
        <w:t xml:space="preserve">types.ts:164–169 (GETWeights) · index.tsx:5202 (preset) · oracleService saveSnapshot persists weights</w:t>
      </w:r>
    </w:p>
    <w:p>
      <w:pPr>
        <w:pStyle w:val="Heading1"/>
      </w:pPr>
      <w:r>
        <w:t xml:space="preserve">4. Additional scoring layers</w:t>
      </w:r>
    </w:p>
    <w:p>
      <w:pPr>
        <w:pStyle w:val="Heading2"/>
      </w:pPr>
      <w:r>
        <w:t xml:space="preserve">4.1 Literature signal (velocity-weighted)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Literature is scored not by raw paper count but by </w:t>
      </w:r>
      <w:r>
        <w:rPr>
          <w:rFonts w:ascii="Arial" w:cs="Arial" w:eastAsia="Arial" w:hAnsi="Arial"/>
          <w:b/>
          <w:bCs/>
        </w:rPr>
        <w:t xml:space="preserve">publication velocity</w:t>
      </w:r>
      <w:r>
        <w:rPr>
          <w:rFonts w:ascii="Arial" w:cs="Arial" w:eastAsia="Arial" w:hAnsi="Arial"/>
        </w:rPr>
        <w:t xml:space="preserve"> — the share of papers in the last three years — via PubTator3 gene-mention mining. This rewards </w:t>
      </w:r>
      <w:r>
        <w:rPr>
          <w:rFonts w:ascii="Arial" w:cs="Arial" w:eastAsia="Arial" w:hAnsi="Arial"/>
          <w:b/>
          <w:bCs/>
        </w:rPr>
        <w:t xml:space="preserve">rising</w:t>
      </w:r>
      <w:r>
        <w:rPr>
          <w:rFonts w:ascii="Arial" w:cs="Arial" w:eastAsia="Arial" w:hAnsi="Arial"/>
        </w:rPr>
        <w:t xml:space="preserve"> interest over saturated, long-studied genes, which is more useful for nominating under-explored targets.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↳ source: </w:t>
      </w:r>
      <w:r>
        <w:rPr>
          <w:rFonts w:ascii="Consolas" w:cs="Consolas" w:eastAsia="Consolas" w:hAnsi="Consolas"/>
          <w:color w:val="2563EB"/>
          <w:sz w:val="18"/>
          <w:szCs w:val="18"/>
        </w:rPr>
        <w:t xml:space="preserve">README.md:42 · types.ts:75–78 (pubTatorScore, pubTatorVelocity)</w:t>
      </w:r>
    </w:p>
    <w:p>
      <w:pPr>
        <w:pStyle w:val="Heading2"/>
      </w:pPr>
      <w:r>
        <w:t xml:space="preserve">4.2 Network centrality (one factor among many)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Optional STRING-DB network scores — RWR (Random Walk with Restart) and WINNER — boost genes that are central in the disease's protein-interaction network. A network-boosted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finalScore</w:t>
      </w:r>
      <w:r>
        <w:rPr>
          <w:rFonts w:ascii="Arial" w:cs="Arial" w:eastAsia="Arial" w:hAnsi="Arial"/>
        </w:rPr>
        <w:t xml:space="preserve"> combines the GET Score with these: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final = GET×0.50 + RWR×0.25 + WINNER_norm×0.25</w:t>
      </w:r>
      <w:r>
        <w:rPr>
          <w:rFonts w:ascii="Arial" w:cs="Arial" w:eastAsia="Arial" w:hAnsi="Arial"/>
        </w:rPr>
        <w:t xml:space="preserve">. Per the roadmap, centrality is intentionally treated as one factor, not the ranking's backbone.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↳ source: </w:t>
      </w:r>
      <w:r>
        <w:rPr>
          <w:rFonts w:ascii="Consolas" w:cs="Consolas" w:eastAsia="Consolas" w:hAnsi="Consolas"/>
          <w:color w:val="2563EB"/>
          <w:sz w:val="18"/>
          <w:szCs w:val="18"/>
        </w:rPr>
        <w:t xml:space="preserve">index.tsx:4685 (final = get*0.50 + rp*0.25 + winnerNorm*0.25) · rwr.ts · winner.ts · PLAN §3, §5</w:t>
      </w:r>
    </w:p>
    <w:p>
      <w:pPr>
        <w:pStyle w:val="Heading2"/>
      </w:pPr>
      <w:r>
        <w:t xml:space="preserve">4.3 Clinical sanity flag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A heuristic flag highlights genes scored as maximally tractable yet having no interventional trials (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targetScore === 1.0 &amp;&amp; interventional === 0</w:t>
      </w:r>
      <w:r>
        <w:rPr>
          <w:rFonts w:ascii="Arial" w:cs="Arial" w:eastAsia="Arial" w:hAnsi="Arial"/>
        </w:rPr>
        <w:t xml:space="preserve">) — a useful signal for spotting mismatches between druggability and clinical activity.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↳ source: </w:t>
      </w:r>
      <w:r>
        <w:rPr>
          <w:rFonts w:ascii="Consolas" w:cs="Consolas" w:eastAsia="Consolas" w:hAnsi="Consolas"/>
          <w:color w:val="2563EB"/>
          <w:sz w:val="18"/>
          <w:szCs w:val="18"/>
        </w:rPr>
        <w:t xml:space="preserve">index.tsx:4607</w:t>
      </w:r>
    </w:p>
    <w:p>
      <w:pPr>
        <w:pStyle w:val="Heading1"/>
      </w:pPr>
      <w:r>
        <w:t xml:space="preserve">5. The evidence axes (harvested, stored, not yet scored)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Beyond the GET inputs, the platform harvests four richer evidence axes per gene and stores them with full structured detail in the EVIDENCE table's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value_json</w:t>
      </w:r>
      <w:r>
        <w:rPr>
          <w:rFonts w:ascii="Arial" w:cs="Arial" w:eastAsia="Arial" w:hAnsi="Arial"/>
        </w:rPr>
        <w:t xml:space="preserve">. These currently power the evidence cards and drill-down panels but are </w:t>
      </w:r>
      <w:r>
        <w:rPr>
          <w:rFonts w:ascii="Arial" w:cs="Arial" w:eastAsia="Arial" w:hAnsi="Arial"/>
          <w:b/>
          <w:bCs/>
        </w:rPr>
        <w:t xml:space="preserve">not yet folded into the ranking score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4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Axis (evidence_type)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signals captured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mutation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cBioPortal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mutationFrequency, mutatedSamples, topVariants, dominantVariant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clinical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ClinicalTrials.gov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trial_count, max_phase, phase_breakdown, top_drugs, top_conditions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literature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PubMed / Europe PMC / PubTator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paper_count, recent_paper_count, velocity, top_papers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druggability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ChEMBL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druggabilityScore, targetMaxPhase, modalities, bestCompound (IC50), label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↳ source: </w:t>
      </w:r>
      <w:r>
        <w:rPr>
          <w:rFonts w:ascii="Consolas" w:cs="Consolas" w:eastAsia="Consolas" w:hAnsi="Consolas"/>
          <w:color w:val="2563EB"/>
          <w:sz w:val="18"/>
          <w:szCs w:val="18"/>
        </w:rPr>
        <w:t xml:space="preserve">EVIDENCE table value_json (exported snapshot) · cbioportalService.ts · chemblService.ts · types.ts:32–55 (DrillDownData)</w:t>
      </w:r>
    </w:p>
    <w:tbl>
      <w:tblPr>
        <w:tblW w:type="dxa" w:w="9360"/>
        <w:tblBorders>
          <w:top w:val="none"/>
          <w:left w:val="single" w:color="B45309" w:sz="18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The key methodological gap (and opportunity)</w:t>
            </w:r>
          </w:p>
          <w:p>
            <w:pPr>
              <w:spacing w:after="140" w:line="276"/>
            </w:pPr>
            <w:r>
              <w:rPr>
                <w:rFonts w:ascii="Arial" w:cs="Arial" w:eastAsia="Arial" w:hAnsi="Arial"/>
              </w:rPr>
              <w:t xml:space="preserve">The ranking is currently driven by the GET (Open Targets) inputs, while the four harvested axes above sit in the store unused by the score. The roadmap names this directly: the engine is “strong on evidence breadth, thin on defensibility.” Wiring these axes into a transparent composite is the next step toward a fully evidence-backed nomination score.</w:t>
            </w:r>
          </w:p>
          <w:p>
            <w:pPr>
              <w:spacing w:after="140" w:line="276"/>
            </w:pPr>
            <w:r>
              <w:rPr>
                <w:rFonts w:ascii="Arial" w:cs="Arial" w:eastAsia="Arial" w:hAnsi="Arial"/>
              </w:rPr>
              <w:t xml:space="preserve">ChEMBL druggability provides a worked example. Of 548 genes in the pancreatic-cancer snapshot, the label distribution is: Clinically Validated 70, In Clinical Development 24, Preclinical Only 176, </w:t>
            </w:r>
            <w:r>
              <w:rPr>
                <w:rFonts w:ascii="Arial" w:cs="Arial" w:eastAsia="Arial" w:hAnsi="Arial"/>
                <w:b/>
                <w:bCs/>
              </w:rPr>
              <w:t xml:space="preserve">No Drug Data Found 278</w:t>
            </w:r>
            <w:r>
              <w:rPr>
                <w:rFonts w:ascii="Arial" w:cs="Arial" w:eastAsia="Arial" w:hAnsi="Arial"/>
              </w:rPr>
              <w:t xml:space="preserve">. A correct scorer must treat “No Drug Data Found” as </w:t>
            </w:r>
            <w:r>
              <w:rPr>
                <w:rFonts w:ascii="Arial" w:cs="Arial" w:eastAsia="Arial" w:hAnsi="Arial"/>
                <w:b/>
                <w:bCs/>
              </w:rPr>
              <w:t xml:space="preserve">missing</w:t>
            </w:r>
            <w:r>
              <w:rPr>
                <w:rFonts w:ascii="Arial" w:cs="Arial" w:eastAsia="Arial" w:hAnsi="Arial"/>
              </w:rPr>
              <w:t xml:space="preserve">, not as zero druggability — otherwise novel targets are wrongly buried, defeating the purpose of nomination.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↳ source: </w:t>
      </w:r>
      <w:r>
        <w:rPr>
          <w:rFonts w:ascii="Consolas" w:cs="Consolas" w:eastAsia="Consolas" w:hAnsi="Consolas"/>
          <w:color w:val="2563EB"/>
          <w:sz w:val="18"/>
          <w:szCs w:val="18"/>
        </w:rPr>
        <w:t xml:space="preserve">docs/PLAN_Target_Prioritization.md §4 · ChEMBL labels from exported EVIDENCE (snapshot 8, 548 genes)</w:t>
      </w:r>
    </w:p>
    <w:p>
      <w:pPr>
        <w:pStyle w:val="Heading1"/>
      </w:pPr>
      <w:r>
        <w:t xml:space="preserve">6. Recommended composite for the evidence axes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To integrate the four harvested axes into the ranking in a defensible way, the recommended method (to be implemented) is: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Keep the axes conceptually separate</w:t>
      </w:r>
      <w:r>
        <w:rPr>
          <w:rFonts w:ascii="Arial" w:cs="Arial" w:eastAsia="Arial" w:hAnsi="Arial"/>
        </w:rPr>
        <w:t xml:space="preserve"> — disease-relevance (mutation, literature), tractability (druggability), and clinical maturity / saturation (trials) — rather than summing them blindly.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Rank- or percentile-normalize each axis</w:t>
      </w:r>
      <w:r>
        <w:rPr>
          <w:rFonts w:ascii="Arial" w:cs="Arial" w:eastAsia="Arial" w:hAnsi="Arial"/>
        </w:rPr>
        <w:t xml:space="preserve"> across all genes in the snapshot. The data is heavily skewed (e.g. KRAS mutated in ~65% of tumors vs a long tail), so min–max scaling lets outliers dominate; rank normalization is more robust.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Combine with a weighted harmonic mean</w:t>
      </w:r>
      <w:r>
        <w:rPr>
          <w:rFonts w:ascii="Arial" w:cs="Arial" w:eastAsia="Arial" w:hAnsi="Arial"/>
        </w:rPr>
        <w:t xml:space="preserve"> (the Open Targets approach), which rewards genes supported across multiple axes over a single extreme signal.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Gate by tractability tier</w:t>
      </w:r>
      <w:r>
        <w:rPr>
          <w:rFonts w:ascii="Arial" w:cs="Arial" w:eastAsia="Arial" w:hAnsi="Arial"/>
        </w:rPr>
        <w:t xml:space="preserve"> and treat missing druggability data as a distinct category, not zero.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Apply a trial-saturation penalty</w:t>
      </w:r>
      <w:r>
        <w:rPr>
          <w:rFonts w:ascii="Arial" w:cs="Arial" w:eastAsia="Arial" w:hAnsi="Arial"/>
        </w:rPr>
        <w:t xml:space="preserve"> so the ranking surfaces under-explored opportunities rather than re-discovering already-saturated drivers.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Validate</w:t>
      </w:r>
      <w:r>
        <w:rPr>
          <w:rFonts w:ascii="Arial" w:cs="Arial" w:eastAsia="Arial" w:hAnsi="Arial"/>
        </w:rPr>
        <w:t xml:space="preserve"> with benchmark recovery (do known targets like KRAS / TP53 / SMAD4 surface near the top?) and a sensitivity analysis (are the top targets stable under reasonable weight changes?).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Benchmark recovery and sensitivity analysis are already named as planned validation steps in the roadmap.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↳ source: </w:t>
      </w:r>
      <w:r>
        <w:rPr>
          <w:rFonts w:ascii="Consolas" w:cs="Consolas" w:eastAsia="Consolas" w:hAnsi="Consolas"/>
          <w:color w:val="2563EB"/>
          <w:sz w:val="18"/>
          <w:szCs w:val="18"/>
        </w:rPr>
        <w:t xml:space="preserve">docs/PLAN_Target_Prioritization.md §4.5 (benchmarking: recover KRAS/SRC/EGFR)</w:t>
      </w:r>
    </w:p>
    <w:p>
      <w:pPr>
        <w:pStyle w:val="Heading1"/>
      </w:pPr>
      <w:r>
        <w:t xml:space="preserve">7. Planned axes to strengthen defensibility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The roadmap identifies specific additions that make a nomination defensible by adding reasons not to pursue a target, not just reasons to pursue it: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Safety / tolerability</w:t>
      </w:r>
      <w:r>
        <w:rPr>
          <w:rFonts w:ascii="Arial" w:cs="Arial" w:eastAsia="Arial" w:hAnsi="Arial"/>
        </w:rPr>
        <w:t xml:space="preserve"> — gnomAD genetic constraint (pLI) + Protein Atlas normal-tissue expression breadth.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Functional dependency</w:t>
      </w:r>
      <w:r>
        <w:rPr>
          <w:rFonts w:ascii="Arial" w:cs="Arial" w:eastAsia="Arial" w:hAnsi="Arial"/>
        </w:rPr>
        <w:t xml:space="preserve"> — DepMap CRISPR essentiality (does the tumor actually need the gene).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Mutation → drug actionability</w:t>
      </w:r>
      <w:r>
        <w:rPr>
          <w:rFonts w:ascii="Arial" w:cs="Arial" w:eastAsia="Arial" w:hAnsi="Arial"/>
        </w:rPr>
        <w:t xml:space="preserve"> — linking a specific variant to an approved or trial drug.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Disease-vs-normal differential expression</w:t>
      </w:r>
      <w:r>
        <w:rPr>
          <w:rFonts w:ascii="Arial" w:cs="Arial" w:eastAsia="Arial" w:hAnsi="Arial"/>
        </w:rPr>
        <w:t xml:space="preserve"> — tumor-vs-normal from GEO / TCGA.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↳ source: </w:t>
      </w:r>
      <w:r>
        <w:rPr>
          <w:rFonts w:ascii="Consolas" w:cs="Consolas" w:eastAsia="Consolas" w:hAnsi="Consolas"/>
          <w:color w:val="2563EB"/>
          <w:sz w:val="18"/>
          <w:szCs w:val="18"/>
        </w:rPr>
        <w:t xml:space="preserve">docs/PLAN_Target_Prioritization.md §4.1–4.4</w:t>
      </w:r>
    </w:p>
    <w:p>
      <w:pPr>
        <w:pStyle w:val="Heading1"/>
      </w:pPr>
      <w:r>
        <w:t xml:space="preserve">8. Summary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The current ranking is a transparent, weighted GET Score (G 0.45 / E 0.25 / T 0.30 in code) built from Open Targets evidence, with literature-velocity, network-centrality, and tissue-specificity layers. Four richer evidence axes are harvested and stored but not yet scored — closing that gap with a normalized, harmonic, saturation-aware composite is the clear next step. Throughout, the design favors a </w:t>
      </w:r>
      <w:r>
        <w:rPr>
          <w:rFonts w:ascii="Arial" w:cs="Arial" w:eastAsia="Arial" w:hAnsi="Arial"/>
          <w:b/>
          <w:bCs/>
        </w:rPr>
        <w:t xml:space="preserve">defensible, reproducible nomination</w:t>
      </w:r>
      <w:r>
        <w:rPr>
          <w:rFonts w:ascii="Arial" w:cs="Arial" w:eastAsia="Arial" w:hAnsi="Arial"/>
        </w:rPr>
        <w:t xml:space="preserve"> over an opaque score, in line with the project's review requirements.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6B7280"/>
        <w:sz w:val="16"/>
        <w:szCs w:val="16"/>
      </w:rPr>
      <w:t xml:space="preserve">Evidence-backed · code-grounded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EE8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2563EB"/>
        <w:sz w:val="16"/>
        <w:szCs w:val="16"/>
      </w:rPr>
      <w:t xml:space="preserve">Disease2Target</w:t>
    </w:r>
    <w:r>
      <w:rPr>
        <w:rFonts w:ascii="Arial" w:cs="Arial" w:eastAsia="Arial" w:hAnsi="Arial"/>
        <w:color w:val="6B7280"/>
        <w:sz w:val="16"/>
        <w:szCs w:val="16"/>
      </w:rPr>
      <w:t xml:space="preserve">	Methodology &amp; Scoring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5DEE8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Methodology &amp; Scoring</dc:title>
  <dc:creator>Disease2Target</dc:creator>
  <cp:lastModifiedBy>Un-named</cp:lastModifiedBy>
  <cp:revision>1</cp:revision>
  <dcterms:created xsi:type="dcterms:W3CDTF">2026-06-22T00:24:15.036Z</dcterms:created>
  <dcterms:modified xsi:type="dcterms:W3CDTF">2026-06-22T00:24:15.036Z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