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600"/>
      </w:pPr>
      <w:r>
        <w:rPr>
          <w:rFonts w:ascii="Arial" w:cs="Arial" w:eastAsia="Arial" w:hAnsi="Arial"/>
          <w:b/>
          <w:bCs/>
          <w:color w:val="2563EB"/>
          <w:spacing w:val="60"/>
          <w:sz w:val="26"/>
          <w:szCs w:val="26"/>
        </w:rPr>
        <w:t xml:space="preserve">DISEASE2TARGET</w:t>
      </w:r>
    </w:p>
    <w:p>
      <w:pPr>
        <w:pBdr>
          <w:bottom w:val="single" w:color="2563EB" w:sz="6" w:space="6"/>
        </w:pBdr>
        <w:spacing w:after="40" w:before="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AI-Powered Drug Target Prioritization</w:t>
      </w:r>
    </w:p>
    <w:p>
      <w:pPr>
        <w:spacing w:after="120" w:before="420"/>
      </w:pPr>
      <w:r>
        <w:rPr>
          <w:rFonts w:ascii="Arial" w:cs="Arial" w:eastAsia="Arial" w:hAnsi="Arial"/>
          <w:b/>
          <w:bCs/>
          <w:color w:val="1F3A5F"/>
          <w:sz w:val="52"/>
          <w:szCs w:val="52"/>
        </w:rPr>
        <w:t xml:space="preserve">System &amp; Architecture</w:t>
      </w:r>
    </w:p>
    <w:p>
      <w:pPr>
        <w:spacing w:after="300"/>
      </w:pPr>
      <w:r>
        <w:rPr>
          <w:rFonts w:ascii="Arial" w:cs="Arial" w:eastAsia="Arial" w:hAnsi="Arial"/>
          <w:color w:val="374151"/>
          <w:sz w:val="28"/>
          <w:szCs w:val="28"/>
        </w:rPr>
        <w:t xml:space="preserve">How the platform is built and how data flows through it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Companion to the Methodology and Data-Provenance documents</w:t>
      </w:r>
    </w:p>
    <w:p>
      <w:pPr>
        <w:spacing w:after="40" w:before="240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Project owner: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Nikhil Kurmachalam</w:t>
      </w:r>
    </w:p>
    <w:p>
      <w:pPr>
        <w:spacing w:after="4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Demonstration disease: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Pancreatic adenocarcinoma (EFO_0002618)</w:t>
      </w:r>
    </w:p>
    <w:p>
      <w:r>
        <w:rPr>
          <w:rFonts w:ascii="Arial" w:cs="Arial" w:eastAsia="Arial" w:hAnsi="Arial"/>
          <w:color w:val="6B7280"/>
          <w:sz w:val="20"/>
          <w:szCs w:val="20"/>
        </w:rPr>
        <w:t xml:space="preserve">Generated: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2026-06-22  ·  grounded in repository source (file:line references throughout)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Purpose &amp; scope</w:t>
      </w:r>
    </w:p>
    <w:p>
      <w:pPr>
        <w:spacing w:after="140" w:line="276"/>
      </w:pPr>
      <w:r>
        <w:rPr>
          <w:rFonts w:ascii="Arial" w:cs="Arial" w:eastAsia="Arial" w:hAnsi="Arial"/>
          <w:b/>
          <w:bCs/>
        </w:rPr>
        <w:t xml:space="preserve">Disease2Target</w:t>
      </w:r>
      <w:r>
        <w:rPr>
          <w:rFonts w:ascii="Arial" w:cs="Arial" w:eastAsia="Arial" w:hAnsi="Arial"/>
        </w:rPr>
        <w:t xml:space="preserve"> is an AI-assisted platform that turns a disease name into a ranked, evidence-weighted shortlist of candidate drug targets. It aggregates public biomedical evidence across nine sources, scores every gene on a transparent rubric, and stores each ranking — with full provenance — as a versioned snapshot in an Oracle content store.</w:t>
      </w:r>
    </w:p>
    <w:p>
      <w:pPr>
        <w:spacing w:after="140" w:line="276"/>
      </w:pPr>
      <w:r>
        <w:rPr>
          <w:rFonts w:ascii="Arial" w:cs="Arial" w:eastAsia="Arial" w:hAnsi="Arial"/>
        </w:rPr>
        <w:t xml:space="preserve">This document describes the </w:t>
      </w:r>
      <w:r>
        <w:rPr>
          <w:rFonts w:ascii="Arial" w:cs="Arial" w:eastAsia="Arial" w:hAnsi="Arial"/>
          <w:b/>
          <w:bCs/>
        </w:rPr>
        <w:t xml:space="preserve">system architecture</w:t>
      </w:r>
      <w:r>
        <w:rPr>
          <w:rFonts w:ascii="Arial" w:cs="Arial" w:eastAsia="Arial" w:hAnsi="Arial"/>
        </w:rPr>
        <w:t xml:space="preserve">: the runtime components, the data flow from harvest to ranked output, the storage schema, and the file-level layout of the codebase. Every factual claim is tied to a specific file and line in the repository so it can be independently verified. Two companion documents cover the </w:t>
      </w:r>
      <w:r>
        <w:rPr>
          <w:rFonts w:ascii="Arial" w:cs="Arial" w:eastAsia="Arial" w:hAnsi="Arial"/>
          <w:b/>
          <w:bCs/>
        </w:rPr>
        <w:t xml:space="preserve">scoring methodology</w:t>
      </w:r>
      <w:r>
        <w:rPr>
          <w:rFonts w:ascii="Arial" w:cs="Arial" w:eastAsia="Arial" w:hAnsi="Arial"/>
        </w:rPr>
        <w:t xml:space="preserve"> and the </w:t>
      </w:r>
      <w:r>
        <w:rPr>
          <w:rFonts w:ascii="Arial" w:cs="Arial" w:eastAsia="Arial" w:hAnsi="Arial"/>
          <w:b/>
          <w:bCs/>
        </w:rPr>
        <w:t xml:space="preserve">data provenance / audit model</w:t>
      </w:r>
      <w:r>
        <w:rPr>
          <w:rFonts w:ascii="Arial" w:cs="Arial" w:eastAsia="Arial" w:hAnsi="Arial"/>
        </w:rPr>
        <w:t xml:space="preserve"> in depth.</w:t>
      </w:r>
    </w:p>
    <w:tbl>
      <w:tblPr>
        <w:tblW w:type="dxa" w:w="9360"/>
        <w:tblBorders>
          <w:top w:val="none"/>
          <w:left w:val="single" w:color="2563EB" w:sz="18"/>
          <w:bottom w:val="none"/>
          <w:right w:val="none"/>
          <w:insideH w:val="none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EF2F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Documentation principle</w:t>
            </w:r>
          </w:p>
          <w:p>
            <w:pPr>
              <w:spacing w:after="140" w:line="276"/>
            </w:pPr>
            <w:r>
              <w:rPr>
                <w:rFonts w:ascii="Arial" w:cs="Arial" w:eastAsia="Arial" w:hAnsi="Arial"/>
              </w:rPr>
              <w:t xml:space="preserve">Per the project's review requirement that everything be </w:t>
            </w:r>
            <w:r>
              <w:rPr>
                <w:rFonts w:ascii="Arial" w:cs="Arial" w:eastAsia="Arial" w:hAnsi="Arial"/>
                <w:b/>
                <w:bCs/>
              </w:rPr>
              <w:t xml:space="preserve">evidence-backed and clearly documented</w:t>
            </w:r>
            <w:r>
              <w:rPr>
                <w:rFonts w:ascii="Arial" w:cs="Arial" w:eastAsia="Arial" w:hAnsi="Arial"/>
              </w:rPr>
              <w:t xml:space="preserve">, each statement about system behavior in this document cites its source location (shown as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file:line</w:t>
            </w:r>
            <w:r>
              <w:rPr>
                <w:rFonts w:ascii="Arial" w:cs="Arial" w:eastAsia="Arial" w:hAnsi="Arial"/>
              </w:rPr>
              <w:t xml:space="preserve">). Nothing here is asserted from assumption.</w:t>
            </w:r>
          </w:p>
        </w:tc>
      </w:tr>
    </w:tbl>
    <w:p>
      <w:pPr>
        <w:pStyle w:val="Heading2"/>
      </w:pPr>
      <w:r>
        <w:t xml:space="preserve">1.1 What the platform produces</w:t>
      </w:r>
    </w:p>
    <w:p>
      <w:pPr>
        <w:spacing w:after="140" w:line="276"/>
      </w:pPr>
      <w:r>
        <w:rPr>
          <w:rFonts w:ascii="Arial" w:cs="Arial" w:eastAsia="Arial" w:hAnsi="Arial"/>
        </w:rPr>
        <w:t xml:space="preserve">For a chosen disease, the platform yields: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A ranked target table</w:t>
      </w:r>
      <w:r>
        <w:rPr>
          <w:rFonts w:ascii="Arial" w:cs="Arial" w:eastAsia="Arial" w:hAnsi="Arial"/>
        </w:rPr>
        <w:t xml:space="preserve"> — genes ordered by a composite GET Score, with configurable visible columns, sortable headers, and dual-handle range filters.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Per-target evidence</w:t>
      </w:r>
      <w:r>
        <w:rPr>
          <w:rFonts w:ascii="Arial" w:cs="Arial" w:eastAsia="Arial" w:hAnsi="Arial"/>
        </w:rPr>
        <w:t xml:space="preserve"> — mutation profile (cBioPortal), clinical-trial activity (ClinicalTrials.gov), literature signal (PubMed / Europe PMC / PubTator), and druggability (ChEMBL).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Pathway enrichment, network scores, and tissue specificity</w:t>
      </w:r>
      <w:r>
        <w:rPr>
          <w:rFonts w:ascii="Arial" w:cs="Arial" w:eastAsia="Arial" w:hAnsi="Arial"/>
        </w:rPr>
        <w:t xml:space="preserve"> — Enrichr (KEGG/Reactome/WikiPathways), STRING-DB network (RWR / WINNER), and Protein Atlas TAU scores.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Versioned, sourced snapshots</w:t>
      </w:r>
      <w:r>
        <w:rPr>
          <w:rFonts w:ascii="Arial" w:cs="Arial" w:eastAsia="Arial" w:hAnsi="Arial"/>
        </w:rPr>
        <w:t xml:space="preserve"> — each ranking persisted to Oracle with the weights used, per-gene scores, evidence rows, and an append-only audit trail.</w:t>
      </w:r>
    </w:p>
    <w:p>
      <w:pPr>
        <w:spacing w:after="14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↳ source: </w:t>
      </w:r>
      <w:r>
        <w:rPr>
          <w:rFonts w:ascii="Consolas" w:cs="Consolas" w:eastAsia="Consolas" w:hAnsi="Consolas"/>
          <w:color w:val="2563EB"/>
          <w:sz w:val="18"/>
          <w:szCs w:val="18"/>
        </w:rPr>
        <w:t xml:space="preserve">README.md:38–51 (What It Does · Data Sources)</w:t>
      </w:r>
    </w:p>
    <w:p>
      <w:pPr>
        <w:pStyle w:val="Heading1"/>
      </w:pPr>
      <w:r>
        <w:t xml:space="preserve">2.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360"/>
        <w:gridCol w:w="45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Frontend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React 19 + Vite 6 + TypeScript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Single-page research UI; views and panels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Styling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Tailwind CSS 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Utility-first styling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Backend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Express 5 (Node 20, run via tsx)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API, auth gating, source proxies, AI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Content store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Oracle (oracledb 7, thin mode)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Snapshots, scores, evidence, audit — store of record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Auth / admin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Supabase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Authentication and admin only (no content)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Google Gemini (gemini-2.5-flash)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Summaries, paper extraction, Co-Pilot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Export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docx, file-saver; optional Notion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CSV / DOCX / Notion export of results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↳ source: </w:t>
      </w:r>
      <w:r>
        <w:rPr>
          <w:rFonts w:ascii="Consolas" w:cs="Consolas" w:eastAsia="Consolas" w:hAnsi="Consolas"/>
          <w:color w:val="2563EB"/>
          <w:sz w:val="18"/>
          <w:szCs w:val="18"/>
        </w:rPr>
        <w:t xml:space="preserve">package.json:14–41 · README.md:30–36</w:t>
      </w:r>
    </w:p>
    <w:p>
      <w:pPr>
        <w:spacing w:after="140" w:line="276"/>
      </w:pPr>
      <w:r>
        <w:rPr>
          <w:rFonts w:ascii="Arial" w:cs="Arial" w:eastAsia="Arial" w:hAnsi="Arial"/>
        </w:rPr>
        <w:t xml:space="preserve">The dev server runs the Express API and Vite middleware together via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npm run dev</w:t>
      </w:r>
      <w:r>
        <w:rPr>
          <w:rFonts w:ascii="Arial" w:cs="Arial" w:eastAsia="Arial" w:hAnsi="Arial"/>
        </w:rPr>
        <w:t xml:space="preserve"> (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tsx --env-file=.env server.ts</w:t>
      </w:r>
      <w:r>
        <w:rPr>
          <w:rFonts w:ascii="Arial" w:cs="Arial" w:eastAsia="Arial" w:hAnsi="Arial"/>
        </w:rPr>
        <w:t xml:space="preserve">). Production builds bundle the server with esbuild, marking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oracledb</w:t>
      </w:r>
      <w:r>
        <w:rPr>
          <w:rFonts w:ascii="Arial" w:cs="Arial" w:eastAsia="Arial" w:hAnsi="Arial"/>
        </w:rPr>
        <w:t xml:space="preserve"> external.</w:t>
      </w:r>
    </w:p>
    <w:p>
      <w:pPr>
        <w:spacing w:after="14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↳ source: </w:t>
      </w:r>
      <w:r>
        <w:rPr>
          <w:rFonts w:ascii="Consolas" w:cs="Consolas" w:eastAsia="Consolas" w:hAnsi="Consolas"/>
          <w:color w:val="2563EB"/>
          <w:sz w:val="18"/>
          <w:szCs w:val="18"/>
        </w:rPr>
        <w:t xml:space="preserve">package.json:6–13</w:t>
      </w:r>
    </w:p>
    <w:p>
      <w:pPr>
        <w:pStyle w:val="Heading1"/>
      </w:pPr>
      <w:r>
        <w:t xml:space="preserve">3. Runtime architecture</w:t>
      </w:r>
    </w:p>
    <w:p>
      <w:pPr>
        <w:spacing w:after="140" w:line="276"/>
      </w:pPr>
      <w:r>
        <w:rPr>
          <w:rFonts w:ascii="Arial" w:cs="Arial" w:eastAsia="Arial" w:hAnsi="Arial"/>
        </w:rPr>
        <w:t xml:space="preserve">The system has three tiers and a deliberate two-database split.</w:t>
      </w:r>
    </w:p>
    <w:p>
      <w:pPr>
        <w:pStyle w:val="Heading2"/>
      </w:pPr>
      <w:r>
        <w:t xml:space="preserve">3.1 Component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960"/>
        <w:gridCol w:w="39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files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Client (SPA)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index.tsx, RankingsView.tsx, FunnelView.tsx, MutationPanel.tsx, DruggabilityPanel.tsx, EvidenceCardsPanel.tsx, PaperExtractor.tsx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Renders views; computes the live GET ranking; calls the API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API server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server.ts, api.ts, oracleService.ts, supabase.ts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Auth gating, source proxies, AI, Oracle persistence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Data sources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cbioportalService.ts, chemblService.ts, rwr.ts, winner.ts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Per-source fetch + transform logic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Stores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Oracle (content) · Supabase (auth)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Persistence</w:t>
            </w:r>
          </w:p>
        </w:tc>
      </w:tr>
    </w:tbl>
    <w:p>
      <w:pPr>
        <w:pStyle w:val="Heading2"/>
      </w:pPr>
      <w:r>
        <w:t xml:space="preserve">3.2 The two-database split (by design)</w:t>
      </w:r>
    </w:p>
    <w:p>
      <w:pPr>
        <w:spacing w:after="140" w:line="276"/>
      </w:pPr>
      <w:r>
        <w:rPr>
          <w:rFonts w:ascii="Arial" w:cs="Arial" w:eastAsia="Arial" w:hAnsi="Arial"/>
        </w:rPr>
        <w:t xml:space="preserve">Authentication and administration live in </w:t>
      </w:r>
      <w:r>
        <w:rPr>
          <w:rFonts w:ascii="Arial" w:cs="Arial" w:eastAsia="Arial" w:hAnsi="Arial"/>
          <w:b/>
          <w:bCs/>
        </w:rPr>
        <w:t xml:space="preserve">Supabase</w:t>
      </w:r>
      <w:r>
        <w:rPr>
          <w:rFonts w:ascii="Arial" w:cs="Arial" w:eastAsia="Arial" w:hAnsi="Arial"/>
        </w:rPr>
        <w:t xml:space="preserve">; all scientific content lives in </w:t>
      </w:r>
      <w:r>
        <w:rPr>
          <w:rFonts w:ascii="Arial" w:cs="Arial" w:eastAsia="Arial" w:hAnsi="Arial"/>
          <w:b/>
          <w:bCs/>
        </w:rPr>
        <w:t xml:space="preserve">Oracle</w:t>
      </w:r>
      <w:r>
        <w:rPr>
          <w:rFonts w:ascii="Arial" w:cs="Arial" w:eastAsia="Arial" w:hAnsi="Arial"/>
        </w:rPr>
        <w:t xml:space="preserve">. This is an intentional separation of concerns: identity is a commodity service, while the evidence store is the institutional system of record that must be governed, audited, and hosted inside the UAB network.</w:t>
      </w:r>
    </w:p>
    <w:p>
      <w:pPr>
        <w:spacing w:after="14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↳ source: </w:t>
      </w:r>
      <w:r>
        <w:rPr>
          <w:rFonts w:ascii="Consolas" w:cs="Consolas" w:eastAsia="Consolas" w:hAnsi="Consolas"/>
          <w:color w:val="2563EB"/>
          <w:sz w:val="18"/>
          <w:szCs w:val="18"/>
        </w:rPr>
        <w:t xml:space="preserve">docs/PLAN_Target_Prioritization.md §1 · oracleService.ts:1–5</w:t>
      </w:r>
    </w:p>
    <w:tbl>
      <w:tblPr>
        <w:tblW w:type="dxa" w:w="9360"/>
        <w:tblBorders>
          <w:top w:val="none"/>
          <w:left w:val="single" w:color="B45309" w:sz="18"/>
          <w:bottom w:val="none"/>
          <w:right w:val="none"/>
          <w:insideH w:val="none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7E6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Naming note for maintainers</w:t>
            </w:r>
          </w:p>
          <w:p>
            <w:pPr>
              <w:spacing w:after="140" w:line="276"/>
            </w:pPr>
            <w:r>
              <w:rPr>
                <w:rFonts w:ascii="Arial" w:cs="Arial" w:eastAsia="Arial" w:hAnsi="Arial"/>
              </w:rPr>
              <w:t xml:space="preserve">The client module that fetches snapshots is named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supabase.ts</w:t>
            </w:r>
            <w:r>
              <w:rPr>
                <w:rFonts w:ascii="Arial" w:cs="Arial" w:eastAsia="Arial" w:hAnsi="Arial"/>
              </w:rPr>
              <w:t xml:space="preserve"> and exposes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fetchSnapshots / fetchSnapshotScores / fetchSnapshotEvidence</w:t>
            </w:r>
            <w:r>
              <w:rPr>
                <w:rFonts w:ascii="Arial" w:cs="Arial" w:eastAsia="Arial" w:hAnsi="Arial"/>
              </w:rPr>
              <w:t xml:space="preserve"> (imported by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RankingsView.tsx:2</w:t>
            </w:r>
            <w:r>
              <w:rPr>
                <w:rFonts w:ascii="Arial" w:cs="Arial" w:eastAsia="Arial" w:hAnsi="Arial"/>
              </w:rPr>
              <w:t xml:space="preserve">), but these call the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/api/snapshots*</w:t>
            </w:r>
            <w:r>
              <w:rPr>
                <w:rFonts w:ascii="Arial" w:cs="Arial" w:eastAsia="Arial" w:hAnsi="Arial"/>
              </w:rPr>
              <w:t xml:space="preserve"> endpoints, which read from </w:t>
            </w:r>
            <w:r>
              <w:rPr>
                <w:rFonts w:ascii="Arial" w:cs="Arial" w:eastAsia="Arial" w:hAnsi="Arial"/>
                <w:b/>
                <w:bCs/>
              </w:rPr>
              <w:t xml:space="preserve">Oracle</w:t>
            </w:r>
            <w:r>
              <w:rPr>
                <w:rFonts w:ascii="Arial" w:cs="Arial" w:eastAsia="Arial" w:hAnsi="Arial"/>
              </w:rPr>
              <w:t xml:space="preserve">, not Supabase. The filename is historical; the data path is Oracle.</w:t>
            </w:r>
          </w:p>
        </w:tc>
      </w:tr>
    </w:tbl>
    <w:p>
      <w:pPr>
        <w:pStyle w:val="Heading1"/>
      </w:pPr>
      <w:r>
        <w:t xml:space="preserve">4. Data flow: disease → ranked targets</w:t>
      </w:r>
    </w:p>
    <w:p>
      <w:pPr>
        <w:spacing w:after="140" w:line="276"/>
      </w:pPr>
      <w:r>
        <w:rPr>
          <w:rFonts w:ascii="Arial" w:cs="Arial" w:eastAsia="Arial" w:hAnsi="Arial"/>
        </w:rPr>
        <w:t xml:space="preserve">End to end, a research session moves through these stages: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Disease selection.</w:t>
      </w:r>
      <w:r>
        <w:rPr>
          <w:rFonts w:ascii="Arial" w:cs="Arial" w:eastAsia="Arial" w:hAnsi="Arial"/>
        </w:rPr>
        <w:t xml:space="preserve"> The user picks a disease (e.g. pancreatic adenocarcinoma, EFO_0002618). The client resolves the Open Targets disease identifier.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Harvest.</w:t>
      </w:r>
      <w:r>
        <w:rPr>
          <w:rFonts w:ascii="Arial" w:cs="Arial" w:eastAsia="Arial" w:hAnsi="Arial"/>
        </w:rPr>
        <w:t xml:space="preserve"> The backend fetches the gene universe and per-gene evidence from the external sources, proxied through the server to keep keys server-side and normalize responses.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Scoring.</w:t>
      </w:r>
      <w:r>
        <w:rPr>
          <w:rFonts w:ascii="Arial" w:cs="Arial" w:eastAsia="Arial" w:hAnsi="Arial"/>
        </w:rPr>
        <w:t xml:space="preserve"> The client computes each gene's Genetic (G), Expression (E) and Tractability (T) sub-scores and the composite GET Score, applying the active weight profile. (Full formulas: Methodology document.)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Presentation.</w:t>
      </w:r>
      <w:r>
        <w:rPr>
          <w:rFonts w:ascii="Arial" w:cs="Arial" w:eastAsia="Arial" w:hAnsi="Arial"/>
        </w:rPr>
        <w:t xml:space="preserve"> Results render in the target table and drill-down panels; the funnel view applies staged hard filters; pathway/network/tissue layers load in the background.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Persistence.</w:t>
      </w:r>
      <w:r>
        <w:rPr>
          <w:rFonts w:ascii="Arial" w:cs="Arial" w:eastAsia="Arial" w:hAnsi="Arial"/>
        </w:rPr>
        <w:t xml:space="preserve"> On Save Snapshot, the ranking is written to Oracle: a snapshot header, per-gene RANKING_SCORES, EVIDENCE rows, and an AUDIT_LOG entry — atomically.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Read-back.</w:t>
      </w:r>
      <w:r>
        <w:rPr>
          <w:rFonts w:ascii="Arial" w:cs="Arial" w:eastAsia="Arial" w:hAnsi="Arial"/>
        </w:rPr>
        <w:t xml:space="preserve"> The Rankings view reads stored snapshots from Oracle and renders the dashboard and the Gene × Source evidence matrix.</w:t>
      </w:r>
    </w:p>
    <w:p>
      <w:pPr>
        <w:spacing w:after="14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↳ source: </w:t>
      </w:r>
      <w:r>
        <w:rPr>
          <w:rFonts w:ascii="Consolas" w:cs="Consolas" w:eastAsia="Consolas" w:hAnsi="Consolas"/>
          <w:color w:val="2563EB"/>
          <w:sz w:val="18"/>
          <w:szCs w:val="18"/>
        </w:rPr>
        <w:t xml:space="preserve">server.ts routes (§5) · oracleService.ts saveSnapshot:71 · RankingsView.tsx:30–45</w:t>
      </w:r>
    </w:p>
    <w:p>
      <w:pPr>
        <w:pStyle w:val="Heading2"/>
      </w:pPr>
      <w:r>
        <w:t xml:space="preserve">4.1 Server-side proxying</w:t>
      </w:r>
    </w:p>
    <w:p>
      <w:pPr>
        <w:spacing w:after="140" w:line="276"/>
      </w:pPr>
      <w:r>
        <w:rPr>
          <w:rFonts w:ascii="Arial" w:cs="Arial" w:eastAsia="Arial" w:hAnsi="Arial"/>
        </w:rPr>
        <w:t xml:space="preserve">External calls are routed through the server (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/api/proxy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/api/ot-graphql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/api/pubtator/*</w:t>
      </w:r>
      <w:r>
        <w:rPr>
          <w:rFonts w:ascii="Arial" w:cs="Arial" w:eastAsia="Arial" w:hAnsi="Arial"/>
        </w:rPr>
        <w:t xml:space="preserve">) rather than issued from the browser. This keeps API keys server-side, applies rate limiting to AI calls, and gives one place to normalize and cache source responses.</w:t>
      </w:r>
    </w:p>
    <w:p>
      <w:pPr>
        <w:spacing w:after="14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↳ source: </w:t>
      </w:r>
      <w:r>
        <w:rPr>
          <w:rFonts w:ascii="Consolas" w:cs="Consolas" w:eastAsia="Consolas" w:hAnsi="Consolas"/>
          <w:color w:val="2563EB"/>
          <w:sz w:val="18"/>
          <w:szCs w:val="18"/>
        </w:rPr>
        <w:t xml:space="preserve">server.ts:490 (/api/proxy) · :540 (/api/ot-graphql) · :593 (/api/pubtator/search)</w:t>
      </w:r>
    </w:p>
    <w:p>
      <w:pPr>
        <w:pStyle w:val="Heading1"/>
      </w:pPr>
      <w:r>
        <w:t xml:space="preserve">5. API surface</w:t>
      </w:r>
    </w:p>
    <w:p>
      <w:pPr>
        <w:spacing w:after="140" w:line="276"/>
      </w:pPr>
      <w:r>
        <w:rPr>
          <w:rFonts w:ascii="Arial" w:cs="Arial" w:eastAsia="Arial" w:hAnsi="Arial"/>
        </w:rPr>
        <w:t xml:space="preserve">All routes are defined in server.ts. Content routes require an authenticated user; AI routes are additionally rate-limited; admin routes require the admin role.</w:t>
      </w:r>
    </w:p>
    <w:p>
      <w:pPr>
        <w:pStyle w:val="Heading2"/>
      </w:pPr>
      <w:r>
        <w:t xml:space="preserve">5.1 Content &amp; ranking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 &amp; path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POST  /api/snapshots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Save a ranking snapshot (header + scores + audit)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GET   /api/snapshots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List stored snapshots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GET   /api/snapshots/:id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Fetch one snapshot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DELETE /api/snapshots/:id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Delete a snapshot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GET   /api/snapshots/:id/scores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Per-gene RANKING_SCORES for a snapshot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GET   /api/snapshots/:id/evidence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EVIDENCE rows for a snapshot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POST  /api/evidence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Write evidence rows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GET   /api/evidence  ·  /api/evidence/genes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Read evidence / distinct genes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POST  /api/harvest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Harvest a disease's gene + evidence set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GET   /api/oracle/health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Oracle connectivity check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↳ source: </w:t>
      </w:r>
      <w:r>
        <w:rPr>
          <w:rFonts w:ascii="Consolas" w:cs="Consolas" w:eastAsia="Consolas" w:hAnsi="Consolas"/>
          <w:color w:val="2563EB"/>
          <w:sz w:val="18"/>
          <w:szCs w:val="18"/>
        </w:rPr>
        <w:t xml:space="preserve">server.ts:352–488</w:t>
      </w:r>
    </w:p>
    <w:p>
      <w:pPr>
        <w:pStyle w:val="Heading2"/>
      </w:pPr>
      <w:r>
        <w:t xml:space="preserve">5.2 Source-proxy, AI &amp; admin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760"/>
      </w:tblGrid>
      <w:tr>
        <w:trPr>
          <w:tblHeader/>
        </w:trP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 &amp; path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POST /api/ai/generate · /api/ai/gemini-chat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Gemini generation and Co-Pilot chat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POST /api/ai/analyze-paper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AI extraction of a paper into structured facts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GET  /api/proxy · POST /api/ot-graphql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Generic + Open Targets GraphQL proxy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GET  /api/pubtator/search · /export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PubTator gene-mention mining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POST /api/auth/register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Invite-code registration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GET/PUT /api/admin/invite-code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Manage the invite code (admin)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GET /api/admin/users · PATCH :id/role · DELETE :id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User administration (admin)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↳ source: </w:t>
      </w:r>
      <w:r>
        <w:rPr>
          <w:rFonts w:ascii="Consolas" w:cs="Consolas" w:eastAsia="Consolas" w:hAnsi="Consolas"/>
          <w:color w:val="2563EB"/>
          <w:sz w:val="18"/>
          <w:szCs w:val="18"/>
        </w:rPr>
        <w:t xml:space="preserve">server.ts:275–339, 490–729</w:t>
      </w:r>
    </w:p>
    <w:p>
      <w:pPr>
        <w:pStyle w:val="Heading2"/>
      </w:pPr>
      <w:r>
        <w:t xml:space="preserve">5.3 Authentication gating</w:t>
      </w:r>
    </w:p>
    <w:p>
      <w:pPr>
        <w:spacing w:after="140" w:line="276"/>
      </w:pPr>
      <w:r>
        <w:rPr>
          <w:rFonts w:ascii="Arial" w:cs="Arial" w:eastAsia="Arial" w:hAnsi="Arial"/>
        </w:rPr>
        <w:t xml:space="preserve">A guard lets a small allow-list of endpoints through unauthenticated (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/api/ai/analyze-paper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/api/snapshots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/api/evidence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/api/harvest</w:t>
      </w:r>
      <w:r>
        <w:rPr>
          <w:rFonts w:ascii="Arial" w:cs="Arial" w:eastAsia="Arial" w:hAnsi="Arial"/>
        </w:rPr>
        <w:t xml:space="preserve">); everything else under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/api/ai</w:t>
      </w:r>
      <w:r>
        <w:rPr>
          <w:rFonts w:ascii="Arial" w:cs="Arial" w:eastAsia="Arial" w:hAnsi="Arial"/>
        </w:rPr>
        <w:t xml:space="preserve"> requires an authenticated session, and admin routes require the admin role. Registration is invite-code gated.</w:t>
      </w:r>
    </w:p>
    <w:p>
      <w:pPr>
        <w:spacing w:after="14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↳ source: </w:t>
      </w:r>
      <w:r>
        <w:rPr>
          <w:rFonts w:ascii="Consolas" w:cs="Consolas" w:eastAsia="Consolas" w:hAnsi="Consolas"/>
          <w:color w:val="2563EB"/>
          <w:sz w:val="18"/>
          <w:szCs w:val="18"/>
        </w:rPr>
        <w:t xml:space="preserve">server.ts:245 (allow-list) · :255 (requireAuthenticated) · requireUser / requireAdmin guards</w:t>
      </w:r>
    </w:p>
    <w:p>
      <w:pPr>
        <w:pStyle w:val="Heading1"/>
      </w:pPr>
      <w:r>
        <w:t xml:space="preserve">6. Storage: the Oracle content store</w:t>
      </w:r>
    </w:p>
    <w:p>
      <w:pPr>
        <w:spacing w:after="140" w:line="276"/>
      </w:pPr>
      <w:r>
        <w:rPr>
          <w:rFonts w:ascii="Arial" w:cs="Arial" w:eastAsia="Arial" w:hAnsi="Arial"/>
        </w:rPr>
        <w:t xml:space="preserve">Oracle is the store of record. Connection is gated by environment so the app degrades gracefully when Oracle is unavailable: it activates only when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USE_ORACLE_STORE=1</w:t>
      </w:r>
      <w:r>
        <w:rPr>
          <w:rFonts w:ascii="Arial" w:cs="Arial" w:eastAsia="Arial" w:hAnsi="Arial"/>
        </w:rPr>
        <w:t xml:space="preserve"> and the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ORACLE_USER / ORACLE_PASSWORD / ORACLE_CONNECT_STRING</w:t>
      </w:r>
      <w:r>
        <w:rPr>
          <w:rFonts w:ascii="Arial" w:cs="Arial" w:eastAsia="Arial" w:hAnsi="Arial"/>
        </w:rPr>
        <w:t xml:space="preserve"> variables are all set. The driver runs in </w:t>
      </w:r>
      <w:r>
        <w:rPr>
          <w:rFonts w:ascii="Arial" w:cs="Arial" w:eastAsia="Arial" w:hAnsi="Arial"/>
          <w:b/>
          <w:bCs/>
        </w:rPr>
        <w:t xml:space="preserve">thin mode</w:t>
      </w:r>
      <w:r>
        <w:rPr>
          <w:rFonts w:ascii="Arial" w:cs="Arial" w:eastAsia="Arial" w:hAnsi="Arial"/>
        </w:rPr>
        <w:t xml:space="preserve"> (no native Oracle client install) with a small connection pool.</w:t>
      </w:r>
    </w:p>
    <w:p>
      <w:pPr>
        <w:spacing w:after="14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↳ source: </w:t>
      </w:r>
      <w:r>
        <w:rPr>
          <w:rFonts w:ascii="Consolas" w:cs="Consolas" w:eastAsia="Consolas" w:hAnsi="Consolas"/>
          <w:color w:val="2563EB"/>
          <w:sz w:val="18"/>
          <w:szCs w:val="18"/>
        </w:rPr>
        <w:t xml:space="preserve">oracleService.ts:17–35 (oracleEnabled, getPool)</w:t>
      </w:r>
    </w:p>
    <w:p>
      <w:pPr>
        <w:pStyle w:val="Heading2"/>
      </w:pPr>
      <w:r>
        <w:t xml:space="preserve">6.1 The four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100"/>
        <w:gridCol w:w="4560"/>
      </w:tblGrid>
      <w:tr>
        <w:trPr>
          <w:tblHeader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Grain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Holds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TARGET_RANKING_SNAPSHOTS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 row / ranking run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Disease, version, weights (JSON), gene_count, provenance, targets (JSON)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RANKING_SCORES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 row / gene / snapshot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rank_position, get_score, genetic/expression/target/literature scores, TAU, bimodality, pubtator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EVIDENCE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 row / evidence item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evidence_type, source, source_url, value_text, value_json, retrieved_at, generated_by, audit_status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AUDIT_LOG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 row / event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actor, action, entity, disease_id, details — append-only (SELECT/INSERT grants only)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↳ source: </w:t>
      </w:r>
      <w:r>
        <w:rPr>
          <w:rFonts w:ascii="Consolas" w:cs="Consolas" w:eastAsia="Consolas" w:hAnsi="Consolas"/>
          <w:color w:val="2563EB"/>
          <w:sz w:val="18"/>
          <w:szCs w:val="18"/>
        </w:rPr>
        <w:t xml:space="preserve">docs/sql/oracle_content_tables.sql · docs/sql/oracle_target_ranking_snapshots.sql</w:t>
      </w:r>
    </w:p>
    <w:p>
      <w:pPr>
        <w:spacing w:after="140" w:line="276"/>
      </w:pPr>
      <w:r>
        <w:rPr>
          <w:rFonts w:ascii="Arial" w:cs="Arial" w:eastAsia="Arial" w:hAnsi="Arial"/>
        </w:rPr>
        <w:t xml:space="preserve">Snapshots are versioned per disease: a new save computes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NVL(MAX(version),0)+1</w:t>
      </w:r>
      <w:r>
        <w:rPr>
          <w:rFonts w:ascii="Arial" w:cs="Arial" w:eastAsia="Arial" w:hAnsi="Arial"/>
        </w:rPr>
        <w:t xml:space="preserve"> for the disease and writes the header, per-gene scores, and an audit entry inside a single transaction (autocommit is off).</w:t>
      </w:r>
    </w:p>
    <w:p>
      <w:pPr>
        <w:spacing w:after="14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↳ source: </w:t>
      </w:r>
      <w:r>
        <w:rPr>
          <w:rFonts w:ascii="Consolas" w:cs="Consolas" w:eastAsia="Consolas" w:hAnsi="Consolas"/>
          <w:color w:val="2563EB"/>
          <w:sz w:val="18"/>
          <w:szCs w:val="18"/>
        </w:rPr>
        <w:t xml:space="preserve">oracleService.ts:71–90 (saveSnapshot) · :10 (autoCommit=false)</w:t>
      </w:r>
    </w:p>
    <w:p>
      <w:pPr>
        <w:pStyle w:val="Heading2"/>
      </w:pPr>
      <w:r>
        <w:t xml:space="preserve">6.2 Schema versions — one caveat</w:t>
      </w:r>
    </w:p>
    <w:tbl>
      <w:tblPr>
        <w:tblW w:type="dxa" w:w="9360"/>
        <w:tblBorders>
          <w:top w:val="none"/>
          <w:left w:val="single" w:color="B45309" w:sz="18"/>
          <w:bottom w:val="none"/>
          <w:right w:val="none"/>
          <w:insideH w:val="none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7E6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Flag: a second, stale schema file exists</w:t>
            </w:r>
          </w:p>
          <w:p>
            <w:pPr>
              <w:spacing w:after="140" w:line="276"/>
            </w:pPr>
            <w:r>
              <w:rPr>
                <w:rFonts w:ascii="Arial" w:cs="Arial" w:eastAsia="Arial" w:hAnsi="Arial"/>
              </w:rPr>
              <w:t xml:space="preserve">Two schema definitions live in the repo. The </w:t>
            </w:r>
            <w:r>
              <w:rPr>
                <w:rFonts w:ascii="Arial" w:cs="Arial" w:eastAsia="Arial" w:hAnsi="Arial"/>
                <w:b/>
                <w:bCs/>
              </w:rPr>
              <w:t xml:space="preserve">live</w:t>
            </w:r>
            <w:r>
              <w:rPr>
                <w:rFonts w:ascii="Arial" w:cs="Arial" w:eastAsia="Arial" w:hAnsi="Arial"/>
              </w:rPr>
              <w:t xml:space="preserve"> schema is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oracle_content_tables.sql</w:t>
            </w:r>
            <w:r>
              <w:rPr>
                <w:rFonts w:ascii="Arial" w:cs="Arial" w:eastAsia="Arial" w:hAnsi="Arial"/>
              </w:rPr>
              <w:t xml:space="preserve"> +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oracle_target_ranking_snapshots.sql</w:t>
            </w:r>
            <w:r>
              <w:rPr>
                <w:rFonts w:ascii="Arial" w:cs="Arial" w:eastAsia="Arial" w:hAnsi="Arial"/>
              </w:rPr>
              <w:t xml:space="preserve"> (tables RANKING_SCORES / EVIDENCE / AUDIT_LOG / TARGET_RANKING_SNAPSHOTS, integer identity keys) — it matches the exported data exactly.</w:t>
            </w:r>
          </w:p>
          <w:p>
            <w:pPr>
              <w:spacing w:after="140" w:line="276"/>
            </w:pPr>
            <w:r>
              <w:rPr>
                <w:rFonts w:ascii="Arial" w:cs="Arial" w:eastAsia="Arial" w:hAnsi="Arial"/>
              </w:rPr>
              <w:t xml:space="preserve">An </w:t>
            </w:r>
            <w:r>
              <w:rPr>
                <w:rFonts w:ascii="Arial" w:cs="Arial" w:eastAsia="Arial" w:hAnsi="Arial"/>
                <w:b/>
                <w:bCs/>
              </w:rPr>
              <w:t xml:space="preserve">older</w:t>
            </w:r>
            <w:r>
              <w:rPr>
                <w:rFonts w:ascii="Arial" w:cs="Arial" w:eastAsia="Arial" w:hAnsi="Arial"/>
              </w:rPr>
              <w:t xml:space="preserve"> file,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oracle_schema.sql</w:t>
            </w:r>
            <w:r>
              <w:rPr>
                <w:rFonts w:ascii="Arial" w:cs="Arial" w:eastAsia="Arial" w:hAnsi="Arial"/>
              </w:rPr>
              <w:t xml:space="preserve">, defines a different set of tables (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gene_content</w:t>
            </w:r>
            <w:r>
              <w:rPr>
                <w:rFonts w:ascii="Arial" w:cs="Arial" w:eastAsia="Arial" w:hAnsi="Arial"/>
              </w:rP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papers</w:t>
            </w:r>
            <w:r>
              <w:rPr>
                <w:rFonts w:ascii="Arial" w:cs="Arial" w:eastAsia="Arial" w:hAnsi="Arial"/>
              </w:rP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evidence_cards</w:t>
            </w:r>
            <w:r>
              <w:rPr>
                <w:rFonts w:ascii="Arial" w:cs="Arial" w:eastAsia="Arial" w:hAnsi="Arial"/>
              </w:rPr>
              <w:t xml:space="preserve">) with VARCHAR2(36) UUID keys. It does not match the running store. Recommend archiving or deleting it to avoid confusion for collaborators.</w:t>
            </w:r>
          </w:p>
        </w:tc>
      </w:tr>
    </w:tbl>
    <w:p>
      <w:pPr>
        <w:pStyle w:val="Heading1"/>
      </w:pPr>
      <w:r>
        <w:t xml:space="preserve">7. Repository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Path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is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index.tsx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Main React app: views, ranking computation, exports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server.ts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Express API: routes, auth, proxies, AI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oracleService.ts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Oracle content store: save/read snapshots, scores, evidence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supabase.ts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Auth + client-side snapshot fetch helpers (calls /api/snapshots)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*Panel.tsx, FunnelView.tsx, RankingsView.tsx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UI panels and views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cbioportalService.ts, chemblService.ts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Mutation and druggability source clients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rwr.ts, winner.ts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Network scoring (Random Walk with Restart, WINNER)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docs/sql/*.sql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Oracle DDL (live + legacy)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docs/oracle/*.cjs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Migration / verification scripts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docs/PLAN_Target_Prioritization.md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Roadmap and product direction</w:t>
            </w:r>
          </w:p>
        </w:tc>
      </w:tr>
    </w:tbl>
    <w:p>
      <w:pPr>
        <w:pStyle w:val="Heading1"/>
      </w:pPr>
      <w:r>
        <w:t xml:space="preserve">8. Deployment &amp; environment</w:t>
      </w:r>
    </w:p>
    <w:p>
      <w:pPr>
        <w:spacing w:after="140" w:line="276"/>
      </w:pPr>
      <w:r>
        <w:rPr>
          <w:rFonts w:ascii="Arial" w:cs="Arial" w:eastAsia="Arial" w:hAnsi="Arial"/>
        </w:rPr>
        <w:t xml:space="preserve">Because Oracle sits inside UAB's network, the production backend must run </w:t>
      </w:r>
      <w:r>
        <w:rPr>
          <w:rFonts w:ascii="Arial" w:cs="Arial" w:eastAsia="Arial" w:hAnsi="Arial"/>
          <w:b/>
          <w:bCs/>
        </w:rPr>
        <w:t xml:space="preserve">inside that network</w:t>
      </w:r>
      <w:r>
        <w:rPr>
          <w:rFonts w:ascii="Arial" w:cs="Arial" w:eastAsia="Arial" w:hAnsi="Arial"/>
        </w:rPr>
        <w:t xml:space="preserve"> (e.g. via Docker) to reach the database; a serverless host such as Vercel cannot. Development on the VPN is sufficient for demos. This constraint is documented in the roadmap and is a deliberate consequence of the governed content store.</w:t>
      </w:r>
    </w:p>
    <w:p>
      <w:pPr>
        <w:spacing w:after="14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↳ source: </w:t>
      </w:r>
      <w:r>
        <w:rPr>
          <w:rFonts w:ascii="Consolas" w:cs="Consolas" w:eastAsia="Consolas" w:hAnsi="Consolas"/>
          <w:color w:val="2563EB"/>
          <w:sz w:val="18"/>
          <w:szCs w:val="18"/>
        </w:rPr>
        <w:t xml:space="preserve">docs/PLAN_Target_Prioritization.md §2.4</w:t>
      </w:r>
    </w:p>
    <w:p>
      <w:pPr>
        <w:pStyle w:val="Heading2"/>
      </w:pPr>
      <w:r>
        <w:t xml:space="preserve">8.1 Key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760"/>
      </w:tblGrid>
      <w:tr>
        <w:trPr>
          <w:tblHeader/>
        </w:trP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Effect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GEMINI_API_KEY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Enables AI features (required to run)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USE_ORACLE_STORE=1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Activates the Oracle content store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ORACLE_USER / ORACLE_PASSWORD / ORACLE_CONNECT_STRING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Oracle connection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ORACLE_SCHEMA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Schema that owns the content tables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NCBI_API_KEY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Raises PubMed E-Utilities allowance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NOTION_TOKEN / NOTION_DATABASE_ID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Enables Export → Notion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AI_RATE_LIMIT_MAX_REQUESTS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AI requests per client per minute (default 20)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↳ source: </w:t>
      </w:r>
      <w:r>
        <w:rPr>
          <w:rFonts w:ascii="Consolas" w:cs="Consolas" w:eastAsia="Consolas" w:hAnsi="Consolas"/>
          <w:color w:val="2563EB"/>
          <w:sz w:val="18"/>
          <w:szCs w:val="18"/>
        </w:rPr>
        <w:t xml:space="preserve">README.md:28–36 · oracleService.ts:17–24, 28–33</w:t>
      </w:r>
    </w:p>
    <w:p>
      <w:pPr>
        <w:pStyle w:val="Heading1"/>
      </w:pPr>
      <w:r>
        <w:t xml:space="preserve">9. Summary</w:t>
      </w:r>
    </w:p>
    <w:p>
      <w:pPr>
        <w:spacing w:after="140" w:line="276"/>
      </w:pPr>
      <w:r>
        <w:rPr>
          <w:rFonts w:ascii="Arial" w:cs="Arial" w:eastAsia="Arial" w:hAnsi="Arial"/>
        </w:rPr>
        <w:t xml:space="preserve">Disease2Target is a three-tier system with a deliberate split between a commodity auth service (Supabase) and a governed Oracle content store that is the system of record. A React client computes a transparent GET ranking; an Express API gates access, proxies nine evidence sources, and persists each ranking as a versioned, fully-sourced snapshot. The architecture directly serves the project's goal: a </w:t>
      </w:r>
      <w:r>
        <w:rPr>
          <w:rFonts w:ascii="Arial" w:cs="Arial" w:eastAsia="Arial" w:hAnsi="Arial"/>
          <w:b/>
          <w:bCs/>
        </w:rPr>
        <w:t xml:space="preserve">traceable, reproducible target-nomination engine</w:t>
      </w:r>
      <w:r>
        <w:rPr>
          <w:rFonts w:ascii="Arial" w:cs="Arial" w:eastAsia="Arial" w:hAnsi="Arial"/>
        </w:rPr>
        <w:t xml:space="preserve"> rather than a black box.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rFonts w:ascii="Arial" w:cs="Arial" w:eastAsia="Arial" w:hAnsi="Arial"/>
        <w:color w:val="6B7280"/>
        <w:sz w:val="16"/>
        <w:szCs w:val="16"/>
      </w:rPr>
      <w:t xml:space="preserve">Evidence-backed · code-grounded</w:t>
    </w:r>
    <w:r>
      <w:rPr>
        <w:rFonts w:ascii="Arial" w:cs="Arial" w:eastAsia="Arial" w:hAnsi="Arial"/>
        <w:color w:val="6B7280"/>
        <w:sz w:val="16"/>
        <w:szCs w:val="16"/>
      </w:rPr>
      <w:t xml:space="preserve">	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5DEE8" w:sz="4" w:space="4"/>
      </w:pBdr>
      <w:tabs>
        <w:tab w:val="right" w:pos="9360"/>
      </w:tabs>
    </w:pPr>
    <w:r>
      <w:rPr>
        <w:rFonts w:ascii="Arial" w:cs="Arial" w:eastAsia="Arial" w:hAnsi="Arial"/>
        <w:b/>
        <w:bCs/>
        <w:color w:val="2563EB"/>
        <w:sz w:val="16"/>
        <w:szCs w:val="16"/>
      </w:rPr>
      <w:t xml:space="preserve">Disease2Target</w:t>
    </w:r>
    <w:r>
      <w:rPr>
        <w:rFonts w:ascii="Arial" w:cs="Arial" w:eastAsia="Arial" w:hAnsi="Arial"/>
        <w:color w:val="6B7280"/>
        <w:sz w:val="16"/>
        <w:szCs w:val="16"/>
      </w:rPr>
      <w:t xml:space="preserve">	System &amp; Architecture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5DEE8" w:sz="4" w:space="4"/>
      </w:pBdr>
      <w:spacing w:after="160" w:before="320"/>
      <w:outlineLvl w:val="0"/>
    </w:pPr>
    <w:rPr>
      <w:rFonts w:ascii="Arial" w:cs="Arial" w:eastAsia="Arial" w:hAnsi="Arial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563EB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System &amp; Architecture</dc:title>
  <dc:creator>Disease2Target</dc:creator>
  <cp:lastModifiedBy>Un-named</cp:lastModifiedBy>
  <cp:revision>1</cp:revision>
  <dcterms:created xsi:type="dcterms:W3CDTF">2026-06-22T00:24:14.585Z</dcterms:created>
  <dcterms:modified xsi:type="dcterms:W3CDTF">2026-06-22T00:24:14.585Z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