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b/>
          <w:bCs/>
          <w:color w:val="2563EB"/>
          <w:spacing w:val="60"/>
          <w:sz w:val="26"/>
          <w:szCs w:val="26"/>
        </w:rPr>
        <w:t xml:space="preserve">DISEASE2TARGET</w:t>
      </w:r>
    </w:p>
    <w:p>
      <w:pPr>
        <w:pBdr>
          <w:bottom w:val="single" w:color="2563EB" w:sz="6" w:space="6"/>
        </w:pBdr>
        <w:spacing w:after="40" w:before="0"/>
      </w:pPr>
      <w:r>
        <w:rPr>
          <w:rFonts w:ascii="Arial" w:cs="Arial" w:eastAsia="Arial" w:hAnsi="Arial"/>
          <w:color w:val="6B7280"/>
          <w:sz w:val="22"/>
          <w:szCs w:val="22"/>
        </w:rPr>
        <w:t xml:space="preserve">AI-Powered Drug Target Prioritization</w:t>
      </w:r>
    </w:p>
    <w:p>
      <w:pPr>
        <w:spacing w:after="120" w:before="420"/>
      </w:pPr>
      <w:r>
        <w:rPr>
          <w:rFonts w:ascii="Arial" w:cs="Arial" w:eastAsia="Arial" w:hAnsi="Arial"/>
          <w:b/>
          <w:bCs/>
          <w:color w:val="1F3A5F"/>
          <w:sz w:val="52"/>
          <w:szCs w:val="52"/>
        </w:rPr>
        <w:t xml:space="preserve">Target-Prioritization Funnel</w:t>
      </w:r>
    </w:p>
    <w:p>
      <w:pPr>
        <w:spacing w:after="300"/>
      </w:pPr>
      <w:r>
        <w:rPr>
          <w:rFonts w:ascii="Arial" w:cs="Arial" w:eastAsia="Arial" w:hAnsi="Arial"/>
          <w:color w:val="374151"/>
          <w:sz w:val="28"/>
          <w:szCs w:val="28"/>
        </w:rPr>
        <w:t xml:space="preserve">From the Open Targets gene universe to a nominated shortlist</w:t>
      </w:r>
    </w:p>
    <w:p>
      <w:pPr>
        <w:spacing w:after="80"/>
      </w:pPr>
      <w:r>
        <w:rPr>
          <w:rFonts w:ascii="Arial" w:cs="Arial" w:eastAsia="Arial" w:hAnsi="Arial"/>
          <w:i/>
          <w:iCs/>
          <w:color w:val="6B7280"/>
          <w:sz w:val="22"/>
          <w:szCs w:val="22"/>
        </w:rPr>
        <w:t xml:space="preserve">Each stage: criterion, data source &amp; retrieval, and what we have vs. need</w:t>
      </w:r>
    </w:p>
    <w:p>
      <w:pPr>
        <w:spacing w:after="40" w:before="2400"/>
      </w:pPr>
      <w:r>
        <w:rPr>
          <w:rFonts w:ascii="Arial" w:cs="Arial" w:eastAsia="Arial" w:hAnsi="Arial"/>
          <w:color w:val="6B7280"/>
          <w:sz w:val="20"/>
          <w:szCs w:val="20"/>
        </w:rPr>
        <w:t xml:space="preserve">Project owner: </w:t>
      </w:r>
      <w:r>
        <w:rPr>
          <w:rFonts w:ascii="Arial" w:cs="Arial" w:eastAsia="Arial" w:hAnsi="Arial"/>
          <w:color w:val="374151"/>
          <w:sz w:val="20"/>
          <w:szCs w:val="20"/>
        </w:rPr>
        <w:t xml:space="preserve">Nikhil Kurmachalam</w:t>
      </w:r>
    </w:p>
    <w:p>
      <w:pPr>
        <w:spacing w:after="40"/>
      </w:pPr>
      <w:r>
        <w:rPr>
          <w:rFonts w:ascii="Arial" w:cs="Arial" w:eastAsia="Arial" w:hAnsi="Arial"/>
          <w:color w:val="6B7280"/>
          <w:sz w:val="20"/>
          <w:szCs w:val="20"/>
        </w:rPr>
        <w:t xml:space="preserve">Demonstration disease: </w:t>
      </w:r>
      <w:r>
        <w:rPr>
          <w:rFonts w:ascii="Arial" w:cs="Arial" w:eastAsia="Arial" w:hAnsi="Arial"/>
          <w:color w:val="374151"/>
          <w:sz w:val="20"/>
          <w:szCs w:val="20"/>
        </w:rPr>
        <w:t xml:space="preserve">Pancreatic adenocarcinoma (EFO_0002618)</w:t>
      </w:r>
    </w:p>
    <w:p>
      <w:r>
        <w:rPr>
          <w:rFonts w:ascii="Arial" w:cs="Arial" w:eastAsia="Arial" w:hAnsi="Arial"/>
          <w:color w:val="6B7280"/>
          <w:sz w:val="20"/>
          <w:szCs w:val="20"/>
        </w:rPr>
        <w:t xml:space="preserve">Generated: </w:t>
      </w:r>
      <w:r>
        <w:rPr>
          <w:rFonts w:ascii="Arial" w:cs="Arial" w:eastAsia="Arial" w:hAnsi="Arial"/>
          <w:color w:val="374151"/>
          <w:sz w:val="20"/>
          <w:szCs w:val="20"/>
        </w:rPr>
        <w:t xml:space="preserve">2026-06-22  ·  grounded in repository source (file:line references throughout)</w:t>
      </w:r>
    </w:p>
    <w:p>
      <w:r>
        <w:br w:type="page"/>
      </w:r>
    </w:p>
    <w:p>
      <w:pPr>
        <w:pStyle w:val="Heading1"/>
      </w:pPr>
      <w:r>
        <w:rPr>
          <w:rFonts w:ascii="Arial" w:cs="Arial" w:eastAsia="Arial" w:hAnsi="Arial"/>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40" w:line="276"/>
      </w:pPr>
      <w:r>
        <w:rPr>
          <w:rFonts w:ascii="Arial" w:cs="Arial" w:eastAsia="Arial" w:hAnsi="Arial"/>
        </w:rPr>
        <w:t xml:space="preserve">This document specifies the </w:t>
      </w:r>
      <w:r>
        <w:rPr>
          <w:rFonts w:ascii="Arial" w:cs="Arial" w:eastAsia="Arial" w:hAnsi="Arial"/>
          <w:b/>
          <w:bCs/>
        </w:rPr>
        <w:t xml:space="preserve">complete target-prioritization funnel</w:t>
      </w:r>
      <w:r>
        <w:rPr>
          <w:rFonts w:ascii="Arial" w:cs="Arial" w:eastAsia="Arial" w:hAnsi="Arial"/>
        </w:rPr>
        <w:t xml:space="preserve"> for Disease2Target: an ordered sequence of stages that narrows a disease's gene universe down to a short, justified list of nominated drug targets. For each stage it gives the </w:t>
      </w:r>
      <w:r>
        <w:rPr>
          <w:rFonts w:ascii="Arial" w:cs="Arial" w:eastAsia="Arial" w:hAnsi="Arial"/>
          <w:b/>
          <w:bCs/>
        </w:rPr>
        <w:t xml:space="preserve">criterion</w:t>
      </w:r>
      <w:r>
        <w:rPr>
          <w:rFonts w:ascii="Arial" w:cs="Arial" w:eastAsia="Arial" w:hAnsi="Arial"/>
        </w:rPr>
        <w:t xml:space="preserve">, the </w:t>
      </w:r>
      <w:r>
        <w:rPr>
          <w:rFonts w:ascii="Arial" w:cs="Arial" w:eastAsia="Arial" w:hAnsi="Arial"/>
          <w:b/>
          <w:bCs/>
        </w:rPr>
        <w:t xml:space="preserve">data source and how to retrieve it</w:t>
      </w:r>
      <w:r>
        <w:rPr>
          <w:rFonts w:ascii="Arial" w:cs="Arial" w:eastAsia="Arial" w:hAnsi="Arial"/>
        </w:rPr>
        <w:t xml:space="preserve">, and an honest </w:t>
      </w:r>
      <w:r>
        <w:rPr>
          <w:rFonts w:ascii="Arial" w:cs="Arial" w:eastAsia="Arial" w:hAnsi="Arial"/>
          <w:b/>
          <w:bCs/>
        </w:rPr>
        <w:t xml:space="preserve">implementation status</w:t>
      </w:r>
      <w:r>
        <w:rPr>
          <w:rFonts w:ascii="Arial" w:cs="Arial" w:eastAsia="Arial" w:hAnsi="Arial"/>
        </w:rPr>
        <w:t xml:space="preserve"> — what the platform already has, what is partial, and what is not yet built.</w:t>
      </w:r>
    </w:p>
    <w:p>
      <w:pPr>
        <w:spacing w:after="140" w:line="276"/>
      </w:pPr>
      <w:r>
        <w:rPr>
          <w:rFonts w:ascii="Arial" w:cs="Arial" w:eastAsia="Arial" w:hAnsi="Arial"/>
        </w:rPr>
        <w:t xml:space="preserve">It extends the current scoring (see the Methodology &amp; Scoring document) into the full, defensible funnel described in the project roadmap. It is written so a reviewer can see both the scientific logic and the concrete build plan.</w:t>
      </w:r>
    </w:p>
    <w:p>
      <w:pPr>
        <w:pStyle w:val="Heading1"/>
      </w:pPr>
      <w:r>
        <w:t xml:space="preserve">2. Design principles</w:t>
      </w:r>
    </w:p>
    <w:p>
      <w:pPr>
        <w:spacing w:after="140" w:line="276"/>
      </w:pPr>
      <w:r>
        <w:rPr>
          <w:rFonts w:ascii="Arial" w:cs="Arial" w:eastAsia="Arial" w:hAnsi="Arial"/>
        </w:rPr>
        <w:t xml:space="preserve">Four principles determine the funnel's shape and the order of its stages:</w:t>
      </w:r>
    </w:p>
    <w:p>
      <w:pPr>
        <w:pStyle w:val="ListParagraph"/>
        <w:numPr>
          <w:ilvl w:val="0"/>
          <w:numId w:val="2"/>
        </w:numPr>
        <w:spacing w:after="60" w:line="264"/>
      </w:pPr>
      <w:r>
        <w:rPr>
          <w:rFonts w:ascii="Arial" w:cs="Arial" w:eastAsia="Arial" w:hAnsi="Arial"/>
          <w:b/>
          <w:bCs/>
        </w:rPr>
        <w:t xml:space="preserve">Order by cost and decisiveness.</w:t>
      </w:r>
      <w:r>
        <w:rPr>
          <w:rFonts w:ascii="Arial" w:cs="Arial" w:eastAsia="Arial" w:hAnsi="Arial"/>
        </w:rPr>
        <w:t xml:space="preserve"> Cheap, decisive filters run early to shrink the universe; expensive, nuanced scoring runs late on the survivors. This keeps the pipeline efficient and the final scoring focused.</w:t>
      </w:r>
    </w:p>
    <w:p>
      <w:pPr>
        <w:pStyle w:val="ListParagraph"/>
        <w:numPr>
          <w:ilvl w:val="0"/>
          <w:numId w:val="2"/>
        </w:numPr>
        <w:spacing w:after="60" w:line="264"/>
      </w:pPr>
      <w:r>
        <w:rPr>
          <w:rFonts w:ascii="Arial" w:cs="Arial" w:eastAsia="Arial" w:hAnsi="Arial"/>
          <w:b/>
          <w:bCs/>
        </w:rPr>
        <w:t xml:space="preserve">Two filter types, never mixed.</w:t>
      </w:r>
      <w:r>
        <w:rPr>
          <w:rFonts w:ascii="Arial" w:cs="Arial" w:eastAsia="Arial" w:hAnsi="Arial"/>
        </w:rPr>
        <w:t xml:space="preserve"> </w:t>
      </w:r>
      <w:r>
        <w:rPr>
          <w:rFonts w:ascii="Arial" w:cs="Arial" w:eastAsia="Arial" w:hAnsi="Arial"/>
          <w:b/>
          <w:bCs/>
        </w:rPr>
        <w:t xml:space="preserve">Hard filters</w:t>
      </w:r>
      <w:r>
        <w:rPr>
          <w:rFonts w:ascii="Arial" w:cs="Arial" w:eastAsia="Arial" w:hAnsi="Arial"/>
        </w:rPr>
        <w:t xml:space="preserve"> narrow the set (and report wide→narrow counts); </w:t>
      </w:r>
      <w:r>
        <w:rPr>
          <w:rFonts w:ascii="Arial" w:cs="Arial" w:eastAsia="Arial" w:hAnsi="Arial"/>
          <w:b/>
          <w:bCs/>
        </w:rPr>
        <w:t xml:space="preserve">soft scores</w:t>
      </w:r>
      <w:r>
        <w:rPr>
          <w:rFonts w:ascii="Arial" w:cs="Arial" w:eastAsia="Arial" w:hAnsi="Arial"/>
        </w:rPr>
        <w:t xml:space="preserve"> rank the survivors. A gene that fails a hard safety filter must not be rescued by a high score elsewhere.</w:t>
      </w:r>
    </w:p>
    <w:p>
      <w:pPr>
        <w:pStyle w:val="ListParagraph"/>
        <w:numPr>
          <w:ilvl w:val="0"/>
          <w:numId w:val="2"/>
        </w:numPr>
        <w:spacing w:after="60" w:line="264"/>
      </w:pPr>
      <w:r>
        <w:rPr>
          <w:rFonts w:ascii="Arial" w:cs="Arial" w:eastAsia="Arial" w:hAnsi="Arial"/>
          <w:b/>
          <w:bCs/>
        </w:rPr>
        <w:t xml:space="preserve">Reasons to pursue AND reasons not to.</w:t>
      </w:r>
      <w:r>
        <w:rPr>
          <w:rFonts w:ascii="Arial" w:cs="Arial" w:eastAsia="Arial" w:hAnsi="Arial"/>
        </w:rPr>
        <w:t xml:space="preserve"> Most pipelines only accumulate positive evidence. Defensibility comes from explicitly modelling the negatives — safety, tolerability, undruggable mechanism.</w:t>
      </w:r>
    </w:p>
    <w:p>
      <w:pPr>
        <w:pStyle w:val="ListParagraph"/>
        <w:numPr>
          <w:ilvl w:val="0"/>
          <w:numId w:val="2"/>
        </w:numPr>
        <w:spacing w:after="60" w:line="264"/>
      </w:pPr>
      <w:r>
        <w:rPr>
          <w:rFonts w:ascii="Arial" w:cs="Arial" w:eastAsia="Arial" w:hAnsi="Arial"/>
          <w:b/>
          <w:bCs/>
        </w:rPr>
        <w:t xml:space="preserve">Genetics weighted highest, network lowest.</w:t>
      </w:r>
      <w:r>
        <w:rPr>
          <w:rFonts w:ascii="Arial" w:cs="Arial" w:eastAsia="Arial" w:hAnsi="Arial"/>
        </w:rPr>
        <w:t xml:space="preserve"> Causal proximity sets the weight: genetic/dependency evidence outranks association-by-correlation; network centrality is one modifier, not the backbone.</w:t>
      </w:r>
    </w:p>
    <w:tbl>
      <w:tblPr>
        <w:tblW w:type="dxa" w:w="9360"/>
        <w:tblBorders>
          <w:top w:val="none"/>
          <w:left w:val="single" w:color="2563EB" w:sz="18"/>
          <w:bottom w:val="none"/>
          <w:right w:val="none"/>
          <w:insideH w:val="none"/>
          <w:insideV w:val="single" w:color="auto" w:sz="4"/>
        </w:tblBorders>
      </w:tblPr>
      <w:tblGrid>
        <w:gridCol w:w="9360"/>
      </w:tblGrid>
      <w:tr>
        <w:tc>
          <w:tcPr>
            <w:tcW w:type="dxa" w:w="9360"/>
            <w:shd w:fill="EEF2F7" w:val="clear"/>
            <w:tcMar>
              <w:top w:type="dxa" w:w="120"/>
              <w:left w:type="dxa" w:w="200"/>
              <w:bottom w:type="dxa" w:w="120"/>
              <w:right w:type="dxa" w:w="160"/>
            </w:tcMar>
          </w:tcPr>
          <w:p>
            <w:pPr>
              <w:spacing w:after="60"/>
            </w:pPr>
            <w:r>
              <w:rPr>
                <w:rFonts w:ascii="Arial" w:cs="Arial" w:eastAsia="Arial" w:hAnsi="Arial"/>
                <w:b/>
                <w:bCs/>
                <w:color w:val="2563EB"/>
                <w:sz w:val="20"/>
                <w:szCs w:val="20"/>
              </w:rPr>
              <w:t xml:space="preserve">The spine of the funnel — six questions in order</w:t>
            </w:r>
          </w:p>
          <w:p>
            <w:pPr>
              <w:spacing w:after="140" w:line="276"/>
            </w:pPr>
            <w:r>
              <w:rPr>
                <w:rFonts w:ascii="Arial" w:cs="Arial" w:eastAsia="Arial" w:hAnsi="Arial"/>
                <w:b/>
                <w:bCs/>
              </w:rPr>
              <w:t xml:space="preserve">Linked → Needed → Druggable → Safe → Worth it → Ranked.</w:t>
            </w:r>
            <w:r>
              <w:rPr>
                <w:rFonts w:ascii="Arial" w:cs="Arial" w:eastAsia="Arial" w:hAnsi="Arial"/>
              </w:rPr>
              <w:t xml:space="preserve">  Each stage below answers one of these, in this sequence.</w:t>
            </w:r>
          </w:p>
        </w:tc>
      </w:tr>
    </w:tbl>
    <w:p>
      <w:pPr>
        <w:pStyle w:val="Heading1"/>
      </w:pPr>
      <w:r>
        <w:t xml:space="preserve">3. Funnel at a glance</w:t>
      </w:r>
    </w:p>
    <w:p>
      <w:pPr>
        <w:spacing w:after="140" w:line="276"/>
      </w:pPr>
      <w:r>
        <w:rPr>
          <w:rFonts w:ascii="Arial" w:cs="Arial" w:eastAsia="Arial" w:hAnsi="Arial"/>
        </w:rPr>
        <w:t xml:space="preserve">The eleven stages, their guiding question, and filter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4100"/>
        <w:gridCol w:w="1700"/>
      </w:tblGrid>
      <w:tr>
        <w:trPr>
          <w:tblHeader/>
        </w:trPr>
        <w:tc>
          <w:tcPr>
            <w:tcW w:type="dxa" w:w="5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w:t>
            </w:r>
          </w:p>
        </w:tc>
        <w:tc>
          <w:tcPr>
            <w:tcW w:type="dxa" w:w="30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Stage</w:t>
            </w:r>
          </w:p>
        </w:tc>
        <w:tc>
          <w:tcPr>
            <w:tcW w:type="dxa" w:w="41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Question</w:t>
            </w:r>
          </w:p>
        </w:tc>
        <w:tc>
          <w:tcPr>
            <w:tcW w:type="dxa" w:w="17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Type</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Gene universe</w:t>
            </w:r>
          </w:p>
        </w:tc>
        <w:tc>
          <w:tcPr>
            <w:tcW w:type="dxa" w:w="4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What is the candidate set?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Input</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1</w:t>
            </w:r>
          </w:p>
        </w:tc>
        <w:tc>
          <w:tcPr>
            <w:tcW w:type="dxa" w:w="30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Disease association / genetics</w:t>
            </w:r>
          </w:p>
        </w:tc>
        <w:tc>
          <w:tcPr>
            <w:tcW w:type="dxa" w:w="41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Is it linked?</w:t>
            </w:r>
          </w:p>
        </w:tc>
        <w:tc>
          <w:tcPr>
            <w:tcW w:type="dxa" w:w="1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Hard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Disease dysregulation / specificity</w:t>
            </w:r>
          </w:p>
        </w:tc>
        <w:tc>
          <w:tcPr>
            <w:tcW w:type="dxa" w:w="4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Is it dysregulated here?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Hard + soft</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3</w:t>
            </w:r>
          </w:p>
        </w:tc>
        <w:tc>
          <w:tcPr>
            <w:tcW w:type="dxa" w:w="30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Functional dependency</w:t>
            </w:r>
          </w:p>
        </w:tc>
        <w:tc>
          <w:tcPr>
            <w:tcW w:type="dxa" w:w="41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Does the disease need it?</w:t>
            </w:r>
          </w:p>
        </w:tc>
        <w:tc>
          <w:tcPr>
            <w:tcW w:type="dxa" w:w="1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Hard</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3b</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Mechanism direction</w:t>
            </w:r>
          </w:p>
        </w:tc>
        <w:tc>
          <w:tcPr>
            <w:tcW w:type="dxa" w:w="4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Can it be acted on (GoF/LoF)?</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Annotate + hard</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4</w:t>
            </w:r>
          </w:p>
        </w:tc>
        <w:tc>
          <w:tcPr>
            <w:tcW w:type="dxa" w:w="30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Druggability / modality fit</w:t>
            </w:r>
          </w:p>
        </w:tc>
        <w:tc>
          <w:tcPr>
            <w:tcW w:type="dxa" w:w="41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Can we drug it?</w:t>
            </w:r>
          </w:p>
        </w:tc>
        <w:tc>
          <w:tcPr>
            <w:tcW w:type="dxa" w:w="1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Hard + soft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Safety / tolerability</w:t>
            </w:r>
          </w:p>
        </w:tc>
        <w:tc>
          <w:tcPr>
            <w:tcW w:type="dxa" w:w="4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Will it harm the patient?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Hard</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6</w:t>
            </w:r>
          </w:p>
        </w:tc>
        <w:tc>
          <w:tcPr>
            <w:tcW w:type="dxa" w:w="30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Clinical landscape / novelty</w:t>
            </w:r>
          </w:p>
        </w:tc>
        <w:tc>
          <w:tcPr>
            <w:tcW w:type="dxa" w:w="41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Is it worth it / is there room?</w:t>
            </w:r>
          </w:p>
        </w:tc>
        <w:tc>
          <w:tcPr>
            <w:tcW w:type="dxa" w:w="1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Soft</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Network / systems context</w:t>
            </w:r>
          </w:p>
        </w:tc>
        <w:tc>
          <w:tcPr>
            <w:tcW w:type="dxa" w:w="4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Is it central to disease biology?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Soft (modifier)</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8</w:t>
            </w:r>
          </w:p>
        </w:tc>
        <w:tc>
          <w:tcPr>
            <w:tcW w:type="dxa" w:w="30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Composite scoring</w:t>
            </w:r>
          </w:p>
        </w:tc>
        <w:tc>
          <w:tcPr>
            <w:tcW w:type="dxa" w:w="41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How do survivors rank?</w:t>
            </w:r>
          </w:p>
        </w:tc>
        <w:tc>
          <w:tcPr>
            <w:tcW w:type="dxa" w:w="1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Rank</w:t>
            </w:r>
          </w:p>
        </w:tc>
      </w:tr>
      <w:tr>
        <w:tc>
          <w:tcPr>
            <w:tcW w:type="dxa" w:w="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Validation</w:t>
            </w:r>
          </w:p>
        </w:tc>
        <w:tc>
          <w:tcPr>
            <w:tcW w:type="dxa" w:w="41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Is the ranking trustworthy?</w:t>
            </w:r>
          </w:p>
        </w:tc>
        <w:tc>
          <w:tcPr>
            <w:tcW w:type="dxa" w:w="17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Check</w:t>
            </w:r>
          </w:p>
        </w:tc>
      </w:tr>
      <w:tr>
        <w:tc>
          <w:tcPr>
            <w:tcW w:type="dxa" w:w="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10</w:t>
            </w:r>
          </w:p>
        </w:tc>
        <w:tc>
          <w:tcPr>
            <w:tcW w:type="dxa" w:w="30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Nomination artifact</w:t>
            </w:r>
          </w:p>
        </w:tc>
        <w:tc>
          <w:tcPr>
            <w:tcW w:type="dxa" w:w="41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What do we hand over?</w:t>
            </w:r>
          </w:p>
        </w:tc>
        <w:tc>
          <w:tcPr>
            <w:tcW w:type="dxa" w:w="17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Output</w:t>
            </w:r>
          </w:p>
        </w:tc>
      </w:tr>
    </w:tbl>
    <w:p>
      <w:pPr>
        <w:pStyle w:val="Heading1"/>
      </w:pPr>
      <w:r>
        <w:t xml:space="preserve">4. The stages in detail</w:t>
      </w:r>
    </w:p>
    <w:p>
      <w:pPr>
        <w:pStyle w:val="Heading2"/>
      </w:pPr>
      <w:r>
        <w:t xml:space="preserve">Stage 0 — Gene universe</w:t>
      </w:r>
    </w:p>
    <w:p>
      <w:pPr>
        <w:spacing w:after="140" w:line="276"/>
      </w:pPr>
      <w:r>
        <w:rPr>
          <w:rFonts w:ascii="Arial" w:cs="Arial" w:eastAsia="Arial" w:hAnsi="Arial"/>
        </w:rPr>
        <w:t xml:space="preserve">The candidate set: every gene with a disease association in Open Targets, carried forward with its association score attached. No filtering yet — just assembly.</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None (input stage). Define the universe and attach the Open Targets association score.</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Open Targets Platform GraphQL API (</w:t>
      </w:r>
      <w:r>
        <w:rPr>
          <w:rFonts w:ascii="Consolas" w:cs="Consolas" w:eastAsia="Consolas" w:hAnsi="Consolas"/>
          <w:color w:val="1F3A5F"/>
          <w:sz w:val="19"/>
          <w:szCs w:val="19"/>
        </w:rPr>
        <w:t xml:space="preserve">api.platform.opentargets.org/api/v4/graphql</w:t>
      </w:r>
      <w:r>
        <w:rPr>
          <w:rFonts w:ascii="Arial" w:cs="Arial" w:eastAsia="Arial" w:hAnsi="Arial"/>
        </w:rPr>
        <w:t xml:space="preserve">) — disease→associatedTargets.</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15803D" w:color="auto" w:val="clear"/>
        </w:rPr>
        <w:t xml:space="preserve">  HAVE  </w:t>
      </w:r>
      <w:r>
        <w:rPr>
          <w:rFonts w:ascii="Arial" w:cs="Arial" w:eastAsia="Arial" w:hAnsi="Arial"/>
        </w:rPr>
        <w:t xml:space="preserve">  Disease resolution and the associated-gene list are implemented.</w:t>
      </w:r>
    </w:p>
    <w:p>
      <w:pPr>
        <w:pStyle w:val="Heading2"/>
      </w:pPr>
      <w:r>
        <w:t xml:space="preserve">Stage 1 — Disease association / genetic support</w:t>
      </w:r>
    </w:p>
    <w:p>
      <w:pPr>
        <w:spacing w:after="140" w:line="276"/>
      </w:pPr>
      <w:r>
        <w:rPr>
          <w:rFonts w:ascii="Arial" w:cs="Arial" w:eastAsia="Arial" w:hAnsi="Arial"/>
        </w:rPr>
        <w:t xml:space="preserve">First hard filter. Floor out genes whose link to the disease is weak or only indirect. Genetics is closest to causal and cheap to evaluate, so it goes first.</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Minimum Open Targets genetic-association strength; supported by somatic mutation frequency in the disease.</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Open Targets (genetic association datatype). Somatic mutations: cBioPortal REST API (</w:t>
      </w:r>
      <w:r>
        <w:rPr>
          <w:rFonts w:ascii="Consolas" w:cs="Consolas" w:eastAsia="Consolas" w:hAnsi="Consolas"/>
          <w:color w:val="1F3A5F"/>
          <w:sz w:val="19"/>
          <w:szCs w:val="19"/>
        </w:rPr>
        <w:t xml:space="preserve">cbioportal.org/api</w:t>
      </w:r>
      <w:r>
        <w:rPr>
          <w:rFonts w:ascii="Arial" w:cs="Arial" w:eastAsia="Arial" w:hAnsi="Arial"/>
        </w:rPr>
        <w:t xml:space="preserve">).</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15803D" w:color="auto" w:val="clear"/>
        </w:rPr>
        <w:t xml:space="preserve">  HAVE  </w:t>
      </w:r>
      <w:r>
        <w:rPr>
          <w:rFonts w:ascii="Arial" w:cs="Arial" w:eastAsia="Arial" w:hAnsi="Arial"/>
        </w:rPr>
        <w:t xml:space="preserve">  Open Targets G score and cBioPortal mutation frequency are both wired in.</w:t>
      </w:r>
    </w:p>
    <w:p>
      <w:pPr>
        <w:pStyle w:val="Heading2"/>
      </w:pPr>
      <w:r>
        <w:t xml:space="preserve">Stage 2 — Disease dysregulation &amp; specificity</w:t>
      </w:r>
    </w:p>
    <w:p>
      <w:pPr>
        <w:spacing w:after="140" w:line="276"/>
      </w:pPr>
      <w:r>
        <w:rPr>
          <w:rFonts w:ascii="Arial" w:cs="Arial" w:eastAsia="Arial" w:hAnsi="Arial"/>
        </w:rPr>
        <w:t xml:space="preserve">A gene can be associated yet not actually dysregulated in disease tissue. Add tumor-vs-normal differential expression, plus expression specificity so the target isn't uniformly expressed everywhere (which hurts the therapeutic window).</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Significant tumor-vs-normal differential expression; acceptable tissue specificity (TAU).</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Differential expression: GEO (</w:t>
      </w:r>
      <w:r>
        <w:rPr>
          <w:rFonts w:ascii="Consolas" w:cs="Consolas" w:eastAsia="Consolas" w:hAnsi="Consolas"/>
          <w:color w:val="1F3A5F"/>
          <w:sz w:val="19"/>
          <w:szCs w:val="19"/>
        </w:rPr>
        <w:t xml:space="preserve">ncbi.nlm.nih.gov/geo</w:t>
      </w:r>
      <w:r>
        <w:rPr>
          <w:rFonts w:ascii="Arial" w:cs="Arial" w:eastAsia="Arial" w:hAnsi="Arial"/>
        </w:rPr>
        <w:t xml:space="preserve">), TCGA via the GDC API (</w:t>
      </w:r>
      <w:r>
        <w:rPr>
          <w:rFonts w:ascii="Consolas" w:cs="Consolas" w:eastAsia="Consolas" w:hAnsi="Consolas"/>
          <w:color w:val="1F3A5F"/>
          <w:sz w:val="19"/>
          <w:szCs w:val="19"/>
        </w:rPr>
        <w:t xml:space="preserve">gdc.cancer.gov</w:t>
      </w:r>
      <w:r>
        <w:rPr>
          <w:rFonts w:ascii="Arial" w:cs="Arial" w:eastAsia="Arial" w:hAnsi="Arial"/>
        </w:rPr>
        <w:t xml:space="preserve">) or UCSC Xena (</w:t>
      </w:r>
      <w:r>
        <w:rPr>
          <w:rFonts w:ascii="Consolas" w:cs="Consolas" w:eastAsia="Consolas" w:hAnsi="Consolas"/>
          <w:color w:val="1F3A5F"/>
          <w:sz w:val="19"/>
          <w:szCs w:val="19"/>
        </w:rPr>
        <w:t xml:space="preserve">xenabrowser.net</w:t>
      </w:r>
      <w:r>
        <w:rPr>
          <w:rFonts w:ascii="Arial" w:cs="Arial" w:eastAsia="Arial" w:hAnsi="Arial"/>
        </w:rPr>
        <w:t xml:space="preserve">); recount3 for uniformly-processed RNA-seq. Specificity: Human Protein Atlas (</w:t>
      </w:r>
      <w:r>
        <w:rPr>
          <w:rFonts w:ascii="Consolas" w:cs="Consolas" w:eastAsia="Consolas" w:hAnsi="Consolas"/>
          <w:color w:val="1F3A5F"/>
          <w:sz w:val="19"/>
          <w:szCs w:val="19"/>
        </w:rPr>
        <w:t xml:space="preserve">proteinatlas.org</w:t>
      </w:r>
      <w:r>
        <w:rPr>
          <w:rFonts w:ascii="Arial" w:cs="Arial" w:eastAsia="Arial" w:hAnsi="Arial"/>
        </w:rPr>
        <w:t xml:space="preserve">, downloadable TSVs).</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B45309" w:color="auto" w:val="clear"/>
        </w:rPr>
        <w:t xml:space="preserve">  PARTIAL  </w:t>
      </w:r>
      <w:r>
        <w:rPr>
          <w:rFonts w:ascii="Arial" w:cs="Arial" w:eastAsia="Arial" w:hAnsi="Arial"/>
        </w:rPr>
        <w:t xml:space="preserve">  Protein Atlas TAU tissue/single-cell specificity is present; </w:t>
      </w:r>
      <w:r>
        <w:rPr>
          <w:rFonts w:ascii="Arial" w:cs="Arial" w:eastAsia="Arial" w:hAnsi="Arial"/>
          <w:b/>
          <w:bCs/>
        </w:rPr>
        <w:t xml:space="preserve">tumor-vs-normal differential expression is not yet integrated</w:t>
      </w:r>
      <w:r>
        <w:rPr>
          <w:rFonts w:ascii="Arial" w:cs="Arial" w:eastAsia="Arial" w:hAnsi="Arial"/>
        </w:rPr>
        <w:t xml:space="preserve"> (roadmap §4.4).</w:t>
      </w:r>
    </w:p>
    <w:p>
      <w:pPr>
        <w:pStyle w:val="Heading2"/>
      </w:pPr>
      <w:r>
        <w:t xml:space="preserve">Stage 3 — Functional dependency / causality</w:t>
      </w:r>
    </w:p>
    <w:p>
      <w:pPr>
        <w:spacing w:after="140" w:line="276"/>
      </w:pPr>
      <w:r>
        <w:rPr>
          <w:rFonts w:ascii="Arial" w:cs="Arial" w:eastAsia="Arial" w:hAnsi="Arial"/>
        </w:rPr>
        <w:t xml:space="preserve">The highest-value addition. This separates true drivers from passengers: does the tumor actually need the gene to survive? A frequently-mutated passenger fails here; a genuine dependency passes. It is the single biggest credibility upgrade to the funnel.</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Tumor dependency above threshold (gene-effect / essentiality in disease-relevant cell lines).</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DepMap (</w:t>
      </w:r>
      <w:r>
        <w:rPr>
          <w:rFonts w:ascii="Consolas" w:cs="Consolas" w:eastAsia="Consolas" w:hAnsi="Consolas"/>
          <w:color w:val="1F3A5F"/>
          <w:sz w:val="19"/>
          <w:szCs w:val="19"/>
        </w:rPr>
        <w:t xml:space="preserve">depmap.org</w:t>
      </w:r>
      <w:r>
        <w:rPr>
          <w:rFonts w:ascii="Arial" w:cs="Arial" w:eastAsia="Arial" w:hAnsi="Arial"/>
        </w:rPr>
        <w:t xml:space="preserve">) — CRISPR (Chronos) gene-effect from the DepMap Public releases; downloadable per-cell-line matrices, filterable to pancreatic lineages.</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B91C1C" w:color="auto" w:val="clear"/>
        </w:rPr>
        <w:t xml:space="preserve">  MISSING  </w:t>
      </w:r>
      <w:r>
        <w:rPr>
          <w:rFonts w:ascii="Arial" w:cs="Arial" w:eastAsia="Arial" w:hAnsi="Arial"/>
        </w:rPr>
        <w:t xml:space="preserve">  Not yet integrated (roadmap §4.2). Prioritize this.</w:t>
      </w:r>
    </w:p>
    <w:p>
      <w:pPr>
        <w:pStyle w:val="Heading2"/>
      </w:pPr>
      <w:r>
        <w:t xml:space="preserve">Stage 3b — Mechanism direction</w:t>
      </w:r>
    </w:p>
    <w:p>
      <w:pPr>
        <w:spacing w:after="140" w:line="276"/>
      </w:pPr>
      <w:r>
        <w:rPr>
          <w:rFonts w:ascii="Arial" w:cs="Arial" w:eastAsia="Arial" w:hAnsi="Arial"/>
        </w:rPr>
        <w:t xml:space="preserve">Annotate whether the gene acts by gain-of-function (oncogene → inhibit) or loss-of-function (tumor suppressor → much harder to drug). This determines whether a target is even strategically actionable, and removes "exciting" tumor-suppressor hits that cannot be drugged directly.</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Classified role (oncogene / TSG) and GoF vs LoF mechanism; filter out intractable LoF unless a synthetic-lethal angle exists.</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COSMIC Cancer Gene Census (</w:t>
      </w:r>
      <w:r>
        <w:rPr>
          <w:rFonts w:ascii="Consolas" w:cs="Consolas" w:eastAsia="Consolas" w:hAnsi="Consolas"/>
          <w:color w:val="1F3A5F"/>
          <w:sz w:val="19"/>
          <w:szCs w:val="19"/>
        </w:rPr>
        <w:t xml:space="preserve">cancer.sanger.ac.uk/census</w:t>
      </w:r>
      <w:r>
        <w:rPr>
          <w:rFonts w:ascii="Arial" w:cs="Arial" w:eastAsia="Arial" w:hAnsi="Arial"/>
        </w:rPr>
        <w:t xml:space="preserve">, registration), OncoKB (</w:t>
      </w:r>
      <w:r>
        <w:rPr>
          <w:rFonts w:ascii="Consolas" w:cs="Consolas" w:eastAsia="Consolas" w:hAnsi="Consolas"/>
          <w:color w:val="1F3A5F"/>
          <w:sz w:val="19"/>
          <w:szCs w:val="19"/>
        </w:rPr>
        <w:t xml:space="preserve">oncokb.org</w:t>
      </w:r>
      <w:r>
        <w:rPr>
          <w:rFonts w:ascii="Arial" w:cs="Arial" w:eastAsia="Arial" w:hAnsi="Arial"/>
        </w:rPr>
        <w:t xml:space="preserve">, academic license), intOGen (</w:t>
      </w:r>
      <w:r>
        <w:rPr>
          <w:rFonts w:ascii="Consolas" w:cs="Consolas" w:eastAsia="Consolas" w:hAnsi="Consolas"/>
          <w:color w:val="1F3A5F"/>
          <w:sz w:val="19"/>
          <w:szCs w:val="19"/>
        </w:rPr>
        <w:t xml:space="preserve">intogen.org</w:t>
      </w:r>
      <w:r>
        <w:rPr>
          <w:rFonts w:ascii="Arial" w:cs="Arial" w:eastAsia="Arial" w:hAnsi="Arial"/>
        </w:rPr>
        <w:t xml:space="preserve">).</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B45309" w:color="auto" w:val="clear"/>
        </w:rPr>
        <w:t xml:space="preserve">  PARTIAL  </w:t>
      </w:r>
      <w:r>
        <w:rPr>
          <w:rFonts w:ascii="Arial" w:cs="Arial" w:eastAsia="Arial" w:hAnsi="Arial"/>
        </w:rPr>
        <w:t xml:space="preserve">  Mutation data is present (cBioPortal); the </w:t>
      </w:r>
      <w:r>
        <w:rPr>
          <w:rFonts w:ascii="Arial" w:cs="Arial" w:eastAsia="Arial" w:hAnsi="Arial"/>
          <w:b/>
          <w:bCs/>
        </w:rPr>
        <w:t xml:space="preserve">oncogene/TSG and GoF/LoF classification is not</w:t>
      </w:r>
      <w:r>
        <w:rPr>
          <w:rFonts w:ascii="Arial" w:cs="Arial" w:eastAsia="Arial" w:hAnsi="Arial"/>
        </w:rPr>
        <w:t xml:space="preserve">.</w:t>
      </w:r>
    </w:p>
    <w:p>
      <w:pPr>
        <w:pStyle w:val="Heading2"/>
      </w:pPr>
      <w:r>
        <w:t xml:space="preserve">Stage 4 — Druggability &amp; modality fit</w:t>
      </w:r>
    </w:p>
    <w:p>
      <w:pPr>
        <w:spacing w:after="140" w:line="276"/>
      </w:pPr>
      <w:r>
        <w:rPr>
          <w:rFonts w:ascii="Arial" w:cs="Arial" w:eastAsia="Arial" w:hAnsi="Arial"/>
        </w:rPr>
        <w:t xml:space="preserve">Can the target plausibly be drugged, and by what modality? Beyond a druggability score, add modality fit gated by where the protein sits — an antibody target must be cell-surface or secreted, a small molecule needs a pocket.</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A plausible therapeutic modality exists. </w:t>
      </w:r>
      <w:r>
        <w:rPr>
          <w:rFonts w:ascii="Arial" w:cs="Arial" w:eastAsia="Arial" w:hAnsi="Arial"/>
          <w:b/>
          <w:bCs/>
        </w:rPr>
        <w:t xml:space="preserve">Treat “No Drug Data Found” as unknown, not zero</w:t>
      </w:r>
      <w:r>
        <w:rPr>
          <w:rFonts w:ascii="Arial" w:cs="Arial" w:eastAsia="Arial" w:hAnsi="Arial"/>
        </w:rPr>
        <w:t xml:space="preserve"> — otherwise novel targets are wrongly buried.</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ChEMBL (</w:t>
      </w:r>
      <w:r>
        <w:rPr>
          <w:rFonts w:ascii="Consolas" w:cs="Consolas" w:eastAsia="Consolas" w:hAnsi="Consolas"/>
          <w:color w:val="1F3A5F"/>
          <w:sz w:val="19"/>
          <w:szCs w:val="19"/>
        </w:rPr>
        <w:t xml:space="preserve">ebi.ac.uk/chembl</w:t>
      </w:r>
      <w:r>
        <w:rPr>
          <w:rFonts w:ascii="Arial" w:cs="Arial" w:eastAsia="Arial" w:hAnsi="Arial"/>
        </w:rPr>
        <w:t xml:space="preserve">), Open Targets tractability buckets. Localization/surfaceome: Human Protein Atlas subcellular, UniProt (</w:t>
      </w:r>
      <w:r>
        <w:rPr>
          <w:rFonts w:ascii="Consolas" w:cs="Consolas" w:eastAsia="Consolas" w:hAnsi="Consolas"/>
          <w:color w:val="1F3A5F"/>
          <w:sz w:val="19"/>
          <w:szCs w:val="19"/>
        </w:rPr>
        <w:t xml:space="preserve">uniprot.org</w:t>
      </w:r>
      <w:r>
        <w:rPr>
          <w:rFonts w:ascii="Arial" w:cs="Arial" w:eastAsia="Arial" w:hAnsi="Arial"/>
        </w:rPr>
        <w:t xml:space="preserve">), Cell Surface Protein Atlas (CSPA), COMPARTMENTS.</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B45309" w:color="auto" w:val="clear"/>
        </w:rPr>
        <w:t xml:space="preserve">  PARTIAL  </w:t>
      </w:r>
      <w:r>
        <w:rPr>
          <w:rFonts w:ascii="Arial" w:cs="Arial" w:eastAsia="Arial" w:hAnsi="Arial"/>
        </w:rPr>
        <w:t xml:space="preserve">  ChEMBL druggability and Open Targets tractability are present; </w:t>
      </w:r>
      <w:r>
        <w:rPr>
          <w:rFonts w:ascii="Arial" w:cs="Arial" w:eastAsia="Arial" w:hAnsi="Arial"/>
          <w:b/>
          <w:bCs/>
        </w:rPr>
        <w:t xml:space="preserve">subcellular localization / modality-fit is not</w:t>
      </w:r>
      <w:r>
        <w:rPr>
          <w:rFonts w:ascii="Arial" w:cs="Arial" w:eastAsia="Arial" w:hAnsi="Arial"/>
        </w:rPr>
        <w:t xml:space="preserve">.</w:t>
      </w:r>
    </w:p>
    <w:p>
      <w:pPr>
        <w:pStyle w:val="Heading2"/>
      </w:pPr>
      <w:r>
        <w:t xml:space="preserve">Stage 5 — Safety / tolerability</w:t>
      </w:r>
    </w:p>
    <w:p>
      <w:pPr>
        <w:spacing w:after="140" w:line="276"/>
      </w:pPr>
      <w:r>
        <w:rPr>
          <w:rFonts w:ascii="Arial" w:cs="Arial" w:eastAsia="Arial" w:hAnsi="Arial"/>
        </w:rPr>
        <w:t xml:space="preserve">The "reasons not to pursue" gate, and what most distinguishes a defensible nomination from a naive one. Is loss-of-function tolerated in healthy humans? Is the gene broadly essential across vital tissues (toxicity risk)?</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Acceptable genetic constraint and limited essential-tissue expression breadth.</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gnomAD (</w:t>
      </w:r>
      <w:r>
        <w:rPr>
          <w:rFonts w:ascii="Consolas" w:cs="Consolas" w:eastAsia="Consolas" w:hAnsi="Consolas"/>
          <w:color w:val="1F3A5F"/>
          <w:sz w:val="19"/>
          <w:szCs w:val="19"/>
        </w:rPr>
        <w:t xml:space="preserve">gnomad.broadinstitute.org</w:t>
      </w:r>
      <w:r>
        <w:rPr>
          <w:rFonts w:ascii="Arial" w:cs="Arial" w:eastAsia="Arial" w:hAnsi="Arial"/>
        </w:rPr>
        <w:t xml:space="preserve">, GraphQL API) — constraint metrics pLI / LOEUF. Normal-tissue breadth: Human Protein Atlas / GTEx (</w:t>
      </w:r>
      <w:r>
        <w:rPr>
          <w:rFonts w:ascii="Consolas" w:cs="Consolas" w:eastAsia="Consolas" w:hAnsi="Consolas"/>
          <w:color w:val="1F3A5F"/>
          <w:sz w:val="19"/>
          <w:szCs w:val="19"/>
        </w:rPr>
        <w:t xml:space="preserve">gtexportal.org</w:t>
      </w:r>
      <w:r>
        <w:rPr>
          <w:rFonts w:ascii="Arial" w:cs="Arial" w:eastAsia="Arial" w:hAnsi="Arial"/>
        </w:rPr>
        <w:t xml:space="preserve">).</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B91C1C" w:color="auto" w:val="clear"/>
        </w:rPr>
        <w:t xml:space="preserve">  MISSING  </w:t>
      </w:r>
      <w:r>
        <w:rPr>
          <w:rFonts w:ascii="Arial" w:cs="Arial" w:eastAsia="Arial" w:hAnsi="Arial"/>
        </w:rPr>
        <w:t xml:space="preserve">  gnomAD constraint not integrated; HPA normal-tissue data partially available. Roadmap §4.1 — cheap, high-impact.</w:t>
      </w:r>
    </w:p>
    <w:p>
      <w:pPr>
        <w:pStyle w:val="Heading2"/>
      </w:pPr>
      <w:r>
        <w:t xml:space="preserve">Stage 6 — Clinical landscape &amp; novelty</w:t>
      </w:r>
    </w:p>
    <w:p>
      <w:pPr>
        <w:spacing w:after="140" w:line="276"/>
      </w:pPr>
      <w:r>
        <w:rPr>
          <w:rFonts w:ascii="Arial" w:cs="Arial" w:eastAsia="Arial" w:hAnsi="Arial"/>
        </w:rPr>
        <w:t xml:space="preserve">Among survivors, weigh opportunity. Trial activity and literature velocity tell you whether a target is saturated or whitespace; mutation→drug actionability tells you whether a specific variant already has a matched drug. The objective decides the direction: penalize saturation for novelty, or reward it for fast-follow.</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Opportunity weighting: trial saturation, literature velocity, and variant-level drug actionability — direction set by the research objective.</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ClinicalTrials.gov API v2 (</w:t>
      </w:r>
      <w:r>
        <w:rPr>
          <w:rFonts w:ascii="Consolas" w:cs="Consolas" w:eastAsia="Consolas" w:hAnsi="Consolas"/>
          <w:color w:val="1F3A5F"/>
          <w:sz w:val="19"/>
          <w:szCs w:val="19"/>
        </w:rPr>
        <w:t xml:space="preserve">clinicaltrials.gov/data-api</w:t>
      </w:r>
      <w:r>
        <w:rPr>
          <w:rFonts w:ascii="Arial" w:cs="Arial" w:eastAsia="Arial" w:hAnsi="Arial"/>
        </w:rPr>
        <w:t xml:space="preserve">), PubMed/PubTator3 + Europe PMC. Variant→drug: OncoKB, CIViC (</w:t>
      </w:r>
      <w:r>
        <w:rPr>
          <w:rFonts w:ascii="Consolas" w:cs="Consolas" w:eastAsia="Consolas" w:hAnsi="Consolas"/>
          <w:color w:val="1F3A5F"/>
          <w:sz w:val="19"/>
          <w:szCs w:val="19"/>
        </w:rPr>
        <w:t xml:space="preserve">civicdb.org</w:t>
      </w:r>
      <w:r>
        <w:rPr>
          <w:rFonts w:ascii="Arial" w:cs="Arial" w:eastAsia="Arial" w:hAnsi="Arial"/>
        </w:rPr>
        <w:t xml:space="preserve">), DGIdb (</w:t>
      </w:r>
      <w:r>
        <w:rPr>
          <w:rFonts w:ascii="Consolas" w:cs="Consolas" w:eastAsia="Consolas" w:hAnsi="Consolas"/>
          <w:color w:val="1F3A5F"/>
          <w:sz w:val="19"/>
          <w:szCs w:val="19"/>
        </w:rPr>
        <w:t xml:space="preserve">dgidb.org</w:t>
      </w:r>
      <w:r>
        <w:rPr>
          <w:rFonts w:ascii="Arial" w:cs="Arial" w:eastAsia="Arial" w:hAnsi="Arial"/>
        </w:rPr>
        <w:t xml:space="preserve">).</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B45309" w:color="auto" w:val="clear"/>
        </w:rPr>
        <w:t xml:space="preserve">  PARTIAL  </w:t>
      </w:r>
      <w:r>
        <w:rPr>
          <w:rFonts w:ascii="Arial" w:cs="Arial" w:eastAsia="Arial" w:hAnsi="Arial"/>
        </w:rPr>
        <w:t xml:space="preserve">  Trials and literature velocity are present; </w:t>
      </w:r>
      <w:r>
        <w:rPr>
          <w:rFonts w:ascii="Arial" w:cs="Arial" w:eastAsia="Arial" w:hAnsi="Arial"/>
          <w:b/>
          <w:bCs/>
        </w:rPr>
        <w:t xml:space="preserve">mutation→drug actionability is not</w:t>
      </w:r>
      <w:r>
        <w:rPr>
          <w:rFonts w:ascii="Arial" w:cs="Arial" w:eastAsia="Arial" w:hAnsi="Arial"/>
        </w:rPr>
        <w:t xml:space="preserve"> (roadmap §4.3).</w:t>
      </w:r>
    </w:p>
    <w:p>
      <w:pPr>
        <w:pStyle w:val="Heading2"/>
      </w:pPr>
      <w:r>
        <w:t xml:space="preserve">Stage 7 — Network / systems context</w:t>
      </w:r>
    </w:p>
    <w:p>
      <w:pPr>
        <w:spacing w:after="140" w:line="276"/>
      </w:pPr>
      <w:r>
        <w:rPr>
          <w:rFonts w:ascii="Arial" w:cs="Arial" w:eastAsia="Arial" w:hAnsi="Arial"/>
        </w:rPr>
        <w:t xml:space="preserve">A modifier, not the backbone. Boost genes that are central hubs in the disease's protein-interaction network, with pathway context. Deliberately weighted as one factor.</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Network centrality (RWR / WINNER) as a bounded score modifier; pathway enrichment for context.</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STRING-DB (</w:t>
      </w:r>
      <w:r>
        <w:rPr>
          <w:rFonts w:ascii="Consolas" w:cs="Consolas" w:eastAsia="Consolas" w:hAnsi="Consolas"/>
          <w:color w:val="1F3A5F"/>
          <w:sz w:val="19"/>
          <w:szCs w:val="19"/>
        </w:rPr>
        <w:t xml:space="preserve">string-db.org</w:t>
      </w:r>
      <w:r>
        <w:rPr>
          <w:rFonts w:ascii="Arial" w:cs="Arial" w:eastAsia="Arial" w:hAnsi="Arial"/>
        </w:rPr>
        <w:t xml:space="preserve">, API), Enrichr (</w:t>
      </w:r>
      <w:r>
        <w:rPr>
          <w:rFonts w:ascii="Consolas" w:cs="Consolas" w:eastAsia="Consolas" w:hAnsi="Consolas"/>
          <w:color w:val="1F3A5F"/>
          <w:sz w:val="19"/>
          <w:szCs w:val="19"/>
        </w:rPr>
        <w:t xml:space="preserve">maayanlab.cloud/Enrichr</w:t>
      </w:r>
      <w:r>
        <w:rPr>
          <w:rFonts w:ascii="Arial" w:cs="Arial" w:eastAsia="Arial" w:hAnsi="Arial"/>
        </w:rPr>
        <w:t xml:space="preserve">) for KEGG / Reactome / WikiPathways.</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15803D" w:color="auto" w:val="clear"/>
        </w:rPr>
        <w:t xml:space="preserve">  HAVE  </w:t>
      </w:r>
      <w:r>
        <w:rPr>
          <w:rFonts w:ascii="Arial" w:cs="Arial" w:eastAsia="Arial" w:hAnsi="Arial"/>
        </w:rPr>
        <w:t xml:space="preserve">  STRING-DB RWR/WINNER and Enrichr enrichment are implemented.</w:t>
      </w:r>
    </w:p>
    <w:p>
      <w:pPr>
        <w:pStyle w:val="Heading2"/>
      </w:pPr>
      <w:r>
        <w:t xml:space="preserve">Stage 8 — Composite scoring of survivors</w:t>
      </w:r>
    </w:p>
    <w:p>
      <w:pPr>
        <w:spacing w:after="140" w:line="276"/>
      </w:pPr>
      <w:r>
        <w:rPr>
          <w:rFonts w:ascii="Arial" w:cs="Arial" w:eastAsia="Arial" w:hAnsi="Arial"/>
        </w:rPr>
        <w:t xml:space="preserve">Everything that cleared the hard filters is ranked by a weighted harmonic composite across the axes, rank-normalized, using cohort-profile weights. The harmonic mean rewards genes supported across multiple axes over a single extreme signal.</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Rank-normalized, weighted harmonic composite; weights from the active cohort profile; saturation penalty applied.</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Computed internally from the stage outputs; weights persisted with the snapshot.</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B45309" w:color="auto" w:val="clear"/>
        </w:rPr>
        <w:t xml:space="preserve">  PARTIAL  </w:t>
      </w:r>
      <w:r>
        <w:rPr>
          <w:rFonts w:ascii="Arial" w:cs="Arial" w:eastAsia="Arial" w:hAnsi="Arial"/>
        </w:rPr>
        <w:t xml:space="preserve">  A weighted GET composite exists; the </w:t>
      </w:r>
      <w:r>
        <w:rPr>
          <w:rFonts w:ascii="Arial" w:cs="Arial" w:eastAsia="Arial" w:hAnsi="Arial"/>
          <w:b/>
          <w:bCs/>
        </w:rPr>
        <w:t xml:space="preserve">multi-axis harmonic composite over the new axes is not yet built</w:t>
      </w:r>
      <w:r>
        <w:rPr>
          <w:rFonts w:ascii="Arial" w:cs="Arial" w:eastAsia="Arial" w:hAnsi="Arial"/>
        </w:rPr>
        <w:t xml:space="preserve">.</w:t>
      </w:r>
    </w:p>
    <w:p>
      <w:pPr>
        <w:pStyle w:val="Heading2"/>
      </w:pPr>
      <w:r>
        <w:t xml:space="preserve">Stage 9 — Validation</w:t>
      </w:r>
    </w:p>
    <w:p>
      <w:pPr>
        <w:spacing w:after="140" w:line="276"/>
      </w:pPr>
      <w:r>
        <w:rPr>
          <w:rFonts w:ascii="Arial" w:cs="Arial" w:eastAsia="Arial" w:hAnsi="Arial"/>
        </w:rPr>
        <w:t xml:space="preserve">Without this, the ranking is assertion. Two checks: benchmark recovery (do known targets surface near the top?) and sensitivity analysis (is the top-N stable under reasonable weight changes?).</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Known-target recovery (e.g. KRAS / TP53 / SMAD4) and top-N stability under weight perturbation.</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Internal: gold-standard target lists from Open Targets known drugs, OncoKB, the COSMIC Census.</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B91C1C" w:color="auto" w:val="clear"/>
        </w:rPr>
        <w:t xml:space="preserve">  MISSING  </w:t>
      </w:r>
      <w:r>
        <w:rPr>
          <w:rFonts w:ascii="Arial" w:cs="Arial" w:eastAsia="Arial" w:hAnsi="Arial"/>
        </w:rPr>
        <w:t xml:space="preserve">  Benchmarking/sensitivity not yet implemented (roadmap §4.5).</w:t>
      </w:r>
    </w:p>
    <w:p>
      <w:pPr>
        <w:pStyle w:val="Heading2"/>
      </w:pPr>
      <w:r>
        <w:t xml:space="preserve">Stage 10 — Nomination artifact</w:t>
      </w:r>
    </w:p>
    <w:p>
      <w:pPr>
        <w:spacing w:after="140" w:line="276"/>
      </w:pPr>
      <w:r>
        <w:rPr>
          <w:rFonts w:ascii="Arial" w:cs="Arial" w:eastAsia="Arial" w:hAnsi="Arial"/>
        </w:rPr>
        <w:t xml:space="preserve">The funnel's output is not a number but a target card per nominee: all evidence with provenance, the rationale, the risks surfaced in the safety stage, and a suggested next experiment. This is what is handed to lab members or the professor.</w:t>
      </w:r>
    </w:p>
    <w:p>
      <w:pPr>
        <w:spacing w:after="50" w:line="264"/>
        <w:ind w:left="60"/>
      </w:pPr>
      <w:r>
        <w:rPr>
          <w:rFonts w:ascii="Arial" w:cs="Arial" w:eastAsia="Arial" w:hAnsi="Arial"/>
          <w:b/>
          <w:bCs/>
          <w:color w:val="1F3A5F"/>
          <w:sz w:val="19"/>
          <w:szCs w:val="19"/>
        </w:rPr>
        <w:t xml:space="preserve">Criterion: </w:t>
      </w:r>
      <w:r>
        <w:rPr>
          <w:rFonts w:ascii="Arial" w:cs="Arial" w:eastAsia="Arial" w:hAnsi="Arial"/>
        </w:rPr>
        <w:t xml:space="preserve">One traceable target card per nominated gene, with evidence, provenance, risks, and a recommended next step.</w:t>
      </w:r>
    </w:p>
    <w:p>
      <w:pPr>
        <w:spacing w:after="50" w:line="264"/>
        <w:ind w:left="60"/>
      </w:pPr>
      <w:r>
        <w:rPr>
          <w:rFonts w:ascii="Arial" w:cs="Arial" w:eastAsia="Arial" w:hAnsi="Arial"/>
          <w:b/>
          <w:bCs/>
          <w:color w:val="1F3A5F"/>
          <w:sz w:val="19"/>
          <w:szCs w:val="19"/>
        </w:rPr>
        <w:t xml:space="preserve">Retrieve from: </w:t>
      </w:r>
      <w:r>
        <w:rPr>
          <w:rFonts w:ascii="Arial" w:cs="Arial" w:eastAsia="Arial" w:hAnsi="Arial"/>
        </w:rPr>
        <w:t xml:space="preserve">Assembled from the Oracle content store (EVIDENCE + RANKING_SCORES + provenance).</w:t>
      </w:r>
    </w:p>
    <w:p>
      <w:pPr>
        <w:spacing w:after="50" w:line="264"/>
        <w:ind w:left="60"/>
      </w:pPr>
      <w:r>
        <w:rPr>
          <w:rFonts w:ascii="Arial" w:cs="Arial" w:eastAsia="Arial" w:hAnsi="Arial"/>
          <w:b/>
          <w:bCs/>
          <w:color w:val="1F3A5F"/>
          <w:sz w:val="19"/>
          <w:szCs w:val="19"/>
        </w:rPr>
        <w:t xml:space="preserve">Status: </w:t>
      </w:r>
      <w:r>
        <w:rPr>
          <w:rFonts w:ascii="Arial" w:cs="Arial" w:eastAsia="Arial" w:hAnsi="Arial"/>
          <w:b/>
          <w:bCs/>
          <w:color w:val="FFFFFF"/>
          <w:sz w:val="16"/>
          <w:szCs w:val="16"/>
          <w:shd w:fill="B45309" w:color="auto" w:val="clear"/>
        </w:rPr>
        <w:t xml:space="preserve">  PARTIAL  </w:t>
      </w:r>
      <w:r>
        <w:rPr>
          <w:rFonts w:ascii="Arial" w:cs="Arial" w:eastAsia="Arial" w:hAnsi="Arial"/>
        </w:rPr>
        <w:t xml:space="preserve">  Stored attributes + provenance exist in Oracle; the assembled, exportable </w:t>
      </w:r>
      <w:r>
        <w:rPr>
          <w:rFonts w:ascii="Arial" w:cs="Arial" w:eastAsia="Arial" w:hAnsi="Arial"/>
          <w:b/>
          <w:bCs/>
        </w:rPr>
        <w:t xml:space="preserve">target-card view is in progress</w:t>
      </w:r>
      <w:r>
        <w:rPr>
          <w:rFonts w:ascii="Arial" w:cs="Arial" w:eastAsia="Arial" w:hAnsi="Arial"/>
        </w:rPr>
        <w:t xml:space="preserve"> (roadmap Phase B.1).</w:t>
      </w:r>
    </w:p>
    <w:p>
      <w:pPr>
        <w:pStyle w:val="Heading1"/>
      </w:pPr>
      <w:r>
        <w:t xml:space="preserve">5. Coverage summary — what we have vs. need</w:t>
      </w:r>
    </w:p>
    <w:p>
      <w:pPr>
        <w:spacing w:after="140" w:line="276"/>
      </w:pPr>
      <w:r>
        <w:rPr>
          <w:rFonts w:ascii="Arial" w:cs="Arial" w:eastAsia="Arial" w:hAnsi="Arial"/>
        </w:rPr>
        <w:t xml:space="preserve">The same status, consolidated, with the new data sources to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60"/>
        <w:gridCol w:w="2300"/>
      </w:tblGrid>
      <w:tr>
        <w:trPr>
          <w:tblHeader/>
        </w:trPr>
        <w:tc>
          <w:tcPr>
            <w:tcW w:type="dxa" w:w="35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Axis / stage</w:t>
            </w:r>
          </w:p>
        </w:tc>
        <w:tc>
          <w:tcPr>
            <w:tcW w:type="dxa" w:w="356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Primary source</w:t>
            </w:r>
          </w:p>
        </w:tc>
        <w:tc>
          <w:tcPr>
            <w:tcW w:type="dxa" w:w="2300"/>
            <w:tcBorders>
              <w:top w:val="single" w:color="CCCCCC" w:sz="1"/>
              <w:left w:val="single" w:color="CCCCCC" w:sz="1"/>
              <w:bottom w:val="single" w:color="CCCCCC" w:sz="1"/>
              <w:right w:val="single" w:color="CCCCCC" w:sz="1"/>
            </w:tcBorders>
            <w:shd w:fill="1F3A5F" w:val="clear"/>
            <w:tcMar>
              <w:top w:type="dxa" w:w="70"/>
              <w:left w:type="dxa" w:w="110"/>
              <w:bottom w:type="dxa" w:w="70"/>
              <w:right w:type="dxa" w:w="110"/>
            </w:tcMar>
            <w:vAlign w:val="center"/>
          </w:tcPr>
          <w:p>
            <w:r>
              <w:rPr>
                <w:rFonts w:ascii="Arial" w:cs="Arial" w:eastAsia="Arial" w:hAnsi="Arial"/>
                <w:b/>
                <w:bCs/>
                <w:color w:val="FFFFFF"/>
                <w:sz w:val="19"/>
                <w:szCs w:val="19"/>
              </w:rPr>
              <w:t xml:space="preserve">Status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Gene universe / association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Open Targets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15803D" w:color="auto" w:val="clear"/>
              </w:rPr>
              <w:t xml:space="preserve">  HAVE  </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Somatic mutation frequency</w:t>
            </w:r>
          </w:p>
        </w:tc>
        <w:tc>
          <w:tcPr>
            <w:tcW w:type="dxa" w:w="3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cBioPortal</w:t>
            </w:r>
          </w:p>
        </w:tc>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15803D" w:color="auto" w:val="clear"/>
              </w:rPr>
              <w:t xml:space="preserve">  HAVE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Tissue specificity (TAU)</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Protein Atlas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15803D" w:color="auto" w:val="clear"/>
              </w:rPr>
              <w:t xml:space="preserve">  HAVE  </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Tumor-vs-normal expression</w:t>
            </w:r>
          </w:p>
        </w:tc>
        <w:tc>
          <w:tcPr>
            <w:tcW w:type="dxa" w:w="3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GEO / TCGA (GDC, Xena)</w:t>
            </w:r>
          </w:p>
        </w:tc>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91C1C" w:color="auto" w:val="clear"/>
              </w:rPr>
              <w:t xml:space="preserve">  MISSING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Functional dependency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DepMap CRISPR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91C1C" w:color="auto" w:val="clear"/>
              </w:rPr>
              <w:t xml:space="preserve">  MISSING  </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Mechanism (oncogene/TSG, GoF/LoF)</w:t>
            </w:r>
          </w:p>
        </w:tc>
        <w:tc>
          <w:tcPr>
            <w:tcW w:type="dxa" w:w="3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COSMIC Census / OncoKB</w:t>
            </w:r>
          </w:p>
        </w:tc>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91C1C" w:color="auto" w:val="clear"/>
              </w:rPr>
              <w:t xml:space="preserve">  MISSING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Druggability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ChEMBL / Open Targets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15803D" w:color="auto" w:val="clear"/>
              </w:rPr>
              <w:t xml:space="preserve">  HAVE  </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Localization / modality fit</w:t>
            </w:r>
          </w:p>
        </w:tc>
        <w:tc>
          <w:tcPr>
            <w:tcW w:type="dxa" w:w="3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HPA subcellular / UniProt / CSPA</w:t>
            </w:r>
          </w:p>
        </w:tc>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91C1C" w:color="auto" w:val="clear"/>
              </w:rPr>
              <w:t xml:space="preserve">  MISSING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Safety: genetic constraint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gnomAD (pLI / LOEUF)</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91C1C" w:color="auto" w:val="clear"/>
              </w:rPr>
              <w:t xml:space="preserve">  MISSING  </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Safety: normal-tissue breadth</w:t>
            </w:r>
          </w:p>
        </w:tc>
        <w:tc>
          <w:tcPr>
            <w:tcW w:type="dxa" w:w="3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Protein Atlas / GTEx</w:t>
            </w:r>
          </w:p>
        </w:tc>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45309" w:color="auto" w:val="clear"/>
              </w:rPr>
              <w:t xml:space="preserve">  PARTIAL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Trials / clinical</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ClinicalTrials.gov</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15803D" w:color="auto" w:val="clear"/>
              </w:rPr>
              <w:t xml:space="preserve">  HAVE  </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Literature velocity</w:t>
            </w:r>
          </w:p>
        </w:tc>
        <w:tc>
          <w:tcPr>
            <w:tcW w:type="dxa" w:w="3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PubTator3 / Europe PMC</w:t>
            </w:r>
          </w:p>
        </w:tc>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15803D" w:color="auto" w:val="clear"/>
              </w:rPr>
              <w:t xml:space="preserve">  HAVE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Variant→drug actionability</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OncoKB / CIViC / DGIdb</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91C1C" w:color="auto" w:val="clear"/>
              </w:rPr>
              <w:t xml:space="preserve">  MISSING  </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Network centrality</w:t>
            </w:r>
          </w:p>
        </w:tc>
        <w:tc>
          <w:tcPr>
            <w:tcW w:type="dxa" w:w="3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STRING-DB</w:t>
            </w:r>
          </w:p>
        </w:tc>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15803D" w:color="auto" w:val="clear"/>
              </w:rPr>
              <w:t xml:space="preserve">  HAVE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Pathway enrichment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Enrichr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15803D" w:color="auto" w:val="clear"/>
              </w:rPr>
              <w:t xml:space="preserve">  HAVE  </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Composite (multi-axis harmonic)</w:t>
            </w:r>
          </w:p>
        </w:tc>
        <w:tc>
          <w:tcPr>
            <w:tcW w:type="dxa" w:w="3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Internal</w:t>
            </w:r>
          </w:p>
        </w:tc>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45309" w:color="auto" w:val="clear"/>
              </w:rPr>
              <w:t xml:space="preserve">  PARTIAL  </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Validation / benchmarking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sz w:val="18"/>
                <w:szCs w:val="18"/>
              </w:rPr>
              <w:t xml:space="preserve">Internal + gold standards</w:t>
            </w:r>
          </w:p>
        </w:tc>
        <w:tc>
          <w:tcPr>
            <w:tcW w:type="dxa" w:w="2300"/>
            <w:tcBorders>
              <w:top w:val="single" w:color="CCCCCC" w:sz="1"/>
              <w:left w:val="single" w:color="CCCCCC" w:sz="1"/>
              <w:bottom w:val="single" w:color="CCCCCC" w:sz="1"/>
              <w:right w:val="single" w:color="CCCCCC" w:sz="1"/>
            </w:tcBorders>
            <w:shd w:fill="FFFFFF"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91C1C" w:color="auto" w:val="clear"/>
              </w:rPr>
              <w:t xml:space="preserve">  MISSING  </w:t>
            </w:r>
          </w:p>
        </w:tc>
      </w:tr>
      <w:tr>
        <w:tc>
          <w:tcPr>
            <w:tcW w:type="dxa" w:w="35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Target-card artifact</w:t>
            </w:r>
          </w:p>
        </w:tc>
        <w:tc>
          <w:tcPr>
            <w:tcW w:type="dxa" w:w="356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sz w:val="18"/>
                <w:szCs w:val="18"/>
              </w:rPr>
              <w:t xml:space="preserve">Oracle store</w:t>
            </w:r>
          </w:p>
        </w:tc>
        <w:tc>
          <w:tcPr>
            <w:tcW w:type="dxa" w:w="2300"/>
            <w:tcBorders>
              <w:top w:val="single" w:color="CCCCCC" w:sz="1"/>
              <w:left w:val="single" w:color="CCCCCC" w:sz="1"/>
              <w:bottom w:val="single" w:color="CCCCCC" w:sz="1"/>
              <w:right w:val="single" w:color="CCCCCC" w:sz="1"/>
            </w:tcBorders>
            <w:shd w:fill="F5F7FA" w:val="clear"/>
            <w:tcMar>
              <w:top w:type="dxa" w:w="60"/>
              <w:left w:type="dxa" w:w="110"/>
              <w:bottom w:type="dxa" w:w="60"/>
              <w:right w:type="dxa" w:w="110"/>
            </w:tcMar>
            <w:vAlign w:val="center"/>
          </w:tcPr>
          <w:p>
            <w:pPr>
              <w:spacing w:line="252"/>
            </w:pPr>
            <w:r>
              <w:rPr>
                <w:rFonts w:ascii="Arial" w:cs="Arial" w:eastAsia="Arial" w:hAnsi="Arial"/>
                <w:b/>
                <w:bCs/>
                <w:color w:val="FFFFFF"/>
                <w:sz w:val="16"/>
                <w:szCs w:val="16"/>
                <w:shd w:fill="B45309" w:color="auto" w:val="clear"/>
              </w:rPr>
              <w:t xml:space="preserve">  PARTIAL  </w:t>
            </w:r>
          </w:p>
        </w:tc>
      </w:tr>
    </w:tbl>
    <w:p>
      <w:pPr>
        <w:pStyle w:val="Heading1"/>
      </w:pPr>
      <w:r>
        <w:t xml:space="preserve">6. Recommended build order</w:t>
      </w:r>
    </w:p>
    <w:p>
      <w:pPr>
        <w:spacing w:after="140" w:line="276"/>
      </w:pPr>
      <w:r>
        <w:rPr>
          <w:rFonts w:ascii="Arial" w:cs="Arial" w:eastAsia="Arial" w:hAnsi="Arial"/>
        </w:rPr>
        <w:t xml:space="preserve">Sequenced by impact-per-effort, the five additions that move the funnel from evidence-breadth to defensible nomination:</w:t>
      </w:r>
    </w:p>
    <w:p>
      <w:pPr>
        <w:pStyle w:val="ListParagraph"/>
        <w:numPr>
          <w:ilvl w:val="0"/>
          <w:numId w:val="2"/>
        </w:numPr>
        <w:spacing w:after="60" w:line="264"/>
      </w:pPr>
      <w:r>
        <w:rPr>
          <w:rFonts w:ascii="Arial" w:cs="Arial" w:eastAsia="Arial" w:hAnsi="Arial"/>
          <w:b/>
          <w:bCs/>
        </w:rPr>
        <w:t xml:space="preserve">Safety axis</w:t>
      </w:r>
      <w:r>
        <w:rPr>
          <w:rFonts w:ascii="Arial" w:cs="Arial" w:eastAsia="Arial" w:hAnsi="Arial"/>
        </w:rPr>
        <w:t xml:space="preserve"> — gnomAD pLI/LOEUF + HPA normal-tissue. Cheap, high credibility (Stage 5).</w:t>
      </w:r>
    </w:p>
    <w:p>
      <w:pPr>
        <w:pStyle w:val="ListParagraph"/>
        <w:numPr>
          <w:ilvl w:val="0"/>
          <w:numId w:val="2"/>
        </w:numPr>
        <w:spacing w:after="60" w:line="264"/>
      </w:pPr>
      <w:r>
        <w:rPr>
          <w:rFonts w:ascii="Arial" w:cs="Arial" w:eastAsia="Arial" w:hAnsi="Arial"/>
          <w:b/>
          <w:bCs/>
        </w:rPr>
        <w:t xml:space="preserve">Functional dependency</w:t>
      </w:r>
      <w:r>
        <w:rPr>
          <w:rFonts w:ascii="Arial" w:cs="Arial" w:eastAsia="Arial" w:hAnsi="Arial"/>
        </w:rPr>
        <w:t xml:space="preserve"> — DepMap CRISPR essentiality. The biggest scientific upgrade (Stage 3).</w:t>
      </w:r>
    </w:p>
    <w:p>
      <w:pPr>
        <w:pStyle w:val="ListParagraph"/>
        <w:numPr>
          <w:ilvl w:val="0"/>
          <w:numId w:val="2"/>
        </w:numPr>
        <w:spacing w:after="60" w:line="264"/>
      </w:pPr>
      <w:r>
        <w:rPr>
          <w:rFonts w:ascii="Arial" w:cs="Arial" w:eastAsia="Arial" w:hAnsi="Arial"/>
          <w:b/>
          <w:bCs/>
        </w:rPr>
        <w:t xml:space="preserve">Tumor-vs-normal differential expression</w:t>
      </w:r>
      <w:r>
        <w:rPr>
          <w:rFonts w:ascii="Arial" w:cs="Arial" w:eastAsia="Arial" w:hAnsi="Arial"/>
        </w:rPr>
        <w:t xml:space="preserve"> — GEO/TCGA (Stage 2).</w:t>
      </w:r>
    </w:p>
    <w:p>
      <w:pPr>
        <w:pStyle w:val="ListParagraph"/>
        <w:numPr>
          <w:ilvl w:val="0"/>
          <w:numId w:val="2"/>
        </w:numPr>
        <w:spacing w:after="60" w:line="264"/>
      </w:pPr>
      <w:r>
        <w:rPr>
          <w:rFonts w:ascii="Arial" w:cs="Arial" w:eastAsia="Arial" w:hAnsi="Arial"/>
          <w:b/>
          <w:bCs/>
        </w:rPr>
        <w:t xml:space="preserve">Mechanism direction + variant→drug</w:t>
      </w:r>
      <w:r>
        <w:rPr>
          <w:rFonts w:ascii="Arial" w:cs="Arial" w:eastAsia="Arial" w:hAnsi="Arial"/>
        </w:rPr>
        <w:t xml:space="preserve"> — COSMIC/OncoKB + CIViC/DGIdb (Stages 3b, 6).</w:t>
      </w:r>
    </w:p>
    <w:p>
      <w:pPr>
        <w:pStyle w:val="ListParagraph"/>
        <w:numPr>
          <w:ilvl w:val="0"/>
          <w:numId w:val="2"/>
        </w:numPr>
        <w:spacing w:after="60" w:line="264"/>
      </w:pPr>
      <w:r>
        <w:rPr>
          <w:rFonts w:ascii="Arial" w:cs="Arial" w:eastAsia="Arial" w:hAnsi="Arial"/>
          <w:b/>
          <w:bCs/>
        </w:rPr>
        <w:t xml:space="preserve">Multi-axis harmonic composite + validation</w:t>
      </w:r>
      <w:r>
        <w:rPr>
          <w:rFonts w:ascii="Arial" w:cs="Arial" w:eastAsia="Arial" w:hAnsi="Arial"/>
        </w:rPr>
        <w:t xml:space="preserve"> — wire the axes into one score and benchmark it (Stages 8–9).</w:t>
      </w:r>
    </w:p>
    <w:tbl>
      <w:tblPr>
        <w:tblW w:type="dxa" w:w="9360"/>
        <w:tblBorders>
          <w:top w:val="none"/>
          <w:left w:val="single" w:color="B45309" w:sz="18"/>
          <w:bottom w:val="none"/>
          <w:right w:val="none"/>
          <w:insideH w:val="none"/>
          <w:insideV w:val="single" w:color="auto" w:sz="4"/>
        </w:tblBorders>
      </w:tblPr>
      <w:tblGrid>
        <w:gridCol w:w="9360"/>
      </w:tblGrid>
      <w:tr>
        <w:tc>
          <w:tcPr>
            <w:tcW w:type="dxa" w:w="9360"/>
            <w:shd w:fill="FFF7E6" w:val="clear"/>
            <w:tcMar>
              <w:top w:type="dxa" w:w="120"/>
              <w:left w:type="dxa" w:w="200"/>
              <w:bottom w:type="dxa" w:w="120"/>
              <w:right w:type="dxa" w:w="160"/>
            </w:tcMar>
          </w:tcPr>
          <w:p>
            <w:pPr>
              <w:spacing w:after="60"/>
            </w:pPr>
            <w:r>
              <w:rPr>
                <w:rFonts w:ascii="Arial" w:cs="Arial" w:eastAsia="Arial" w:hAnsi="Arial"/>
                <w:b/>
                <w:bCs/>
                <w:color w:val="B45309"/>
                <w:sz w:val="20"/>
                <w:szCs w:val="20"/>
              </w:rPr>
              <w:t xml:space="preserve">Licensing note</w:t>
            </w:r>
          </w:p>
          <w:p>
            <w:pPr>
              <w:spacing w:after="140" w:line="276"/>
            </w:pPr>
            <w:r>
              <w:rPr>
                <w:rFonts w:ascii="Arial" w:cs="Arial" w:eastAsia="Arial" w:hAnsi="Arial"/>
              </w:rPr>
              <w:t xml:space="preserve">Two valuable sources carry access conditions an academic group should arrange early: </w:t>
            </w:r>
            <w:r>
              <w:rPr>
                <w:rFonts w:ascii="Arial" w:cs="Arial" w:eastAsia="Arial" w:hAnsi="Arial"/>
                <w:b/>
                <w:bCs/>
              </w:rPr>
              <w:t xml:space="preserve">OncoKB</w:t>
            </w:r>
            <w:r>
              <w:rPr>
                <w:rFonts w:ascii="Arial" w:cs="Arial" w:eastAsia="Arial" w:hAnsi="Arial"/>
              </w:rPr>
              <w:t xml:space="preserve"> (free academic license/token) and </w:t>
            </w:r>
            <w:r>
              <w:rPr>
                <w:rFonts w:ascii="Arial" w:cs="Arial" w:eastAsia="Arial" w:hAnsi="Arial"/>
                <w:b/>
                <w:bCs/>
              </w:rPr>
              <w:t xml:space="preserve">COSMIC</w:t>
            </w:r>
            <w:r>
              <w:rPr>
                <w:rFonts w:ascii="Arial" w:cs="Arial" w:eastAsia="Arial" w:hAnsi="Arial"/>
              </w:rPr>
              <w:t xml:space="preserve"> (registration; license for commercial use). DepMap, gnomAD, GEO/TCGA, ChEMBL, STRING-DB, and Enrichr are openly accessible.</w:t>
            </w:r>
          </w:p>
        </w:tc>
      </w:tr>
    </w:tbl>
    <w:p>
      <w:pPr>
        <w:pStyle w:val="Heading1"/>
      </w:pPr>
      <w:r>
        <w:t xml:space="preserve">7. Summary</w:t>
      </w:r>
    </w:p>
    <w:p>
      <w:pPr>
        <w:spacing w:after="140" w:line="276"/>
      </w:pPr>
      <w:r>
        <w:rPr>
          <w:rFonts w:ascii="Arial" w:cs="Arial" w:eastAsia="Arial" w:hAnsi="Arial"/>
        </w:rPr>
        <w:t xml:space="preserve">The funnel narrows the Open Targets gene universe through eleven ordered stages — Linked, Needed, Druggable, Safe, Worth it, Ranked — using hard filters to shrink and soft scores to rank, and modelling reasons not to pursue alongside reasons to pursue. The platform already covers association, mutation, druggability, trials, literature, network, and tissue specificity. The decisive gaps are </w:t>
      </w:r>
      <w:r>
        <w:rPr>
          <w:rFonts w:ascii="Arial" w:cs="Arial" w:eastAsia="Arial" w:hAnsi="Arial"/>
          <w:b/>
          <w:bCs/>
        </w:rPr>
        <w:t xml:space="preserve">functional dependency (DepMap)</w:t>
      </w:r>
      <w:r>
        <w:rPr>
          <w:rFonts w:ascii="Arial" w:cs="Arial" w:eastAsia="Arial" w:hAnsi="Arial"/>
        </w:rPr>
        <w:t xml:space="preserve">, </w:t>
      </w:r>
      <w:r>
        <w:rPr>
          <w:rFonts w:ascii="Arial" w:cs="Arial" w:eastAsia="Arial" w:hAnsi="Arial"/>
          <w:b/>
          <w:bCs/>
        </w:rPr>
        <w:t xml:space="preserve">safety/constraint (gnomAD)</w:t>
      </w:r>
      <w:r>
        <w:rPr>
          <w:rFonts w:ascii="Arial" w:cs="Arial" w:eastAsia="Arial" w:hAnsi="Arial"/>
        </w:rPr>
        <w:t xml:space="preserve">, </w:t>
      </w:r>
      <w:r>
        <w:rPr>
          <w:rFonts w:ascii="Arial" w:cs="Arial" w:eastAsia="Arial" w:hAnsi="Arial"/>
          <w:b/>
          <w:bCs/>
        </w:rPr>
        <w:t xml:space="preserve">tumor-vs-normal expression (GEO/TCGA)</w:t>
      </w:r>
      <w:r>
        <w:rPr>
          <w:rFonts w:ascii="Arial" w:cs="Arial" w:eastAsia="Arial" w:hAnsi="Arial"/>
        </w:rPr>
        <w:t xml:space="preserve">, </w:t>
      </w:r>
      <w:r>
        <w:rPr>
          <w:rFonts w:ascii="Arial" w:cs="Arial" w:eastAsia="Arial" w:hAnsi="Arial"/>
          <w:b/>
          <w:bCs/>
        </w:rPr>
        <w:t xml:space="preserve">mechanism + variant-drug actionability</w:t>
      </w:r>
      <w:r>
        <w:rPr>
          <w:rFonts w:ascii="Arial" w:cs="Arial" w:eastAsia="Arial" w:hAnsi="Arial"/>
        </w:rPr>
        <w:t xml:space="preserve">, and the </w:t>
      </w:r>
      <w:r>
        <w:rPr>
          <w:rFonts w:ascii="Arial" w:cs="Arial" w:eastAsia="Arial" w:hAnsi="Arial"/>
          <w:b/>
          <w:bCs/>
        </w:rPr>
        <w:t xml:space="preserve">multi-axis composite with validation</w:t>
      </w:r>
      <w:r>
        <w:rPr>
          <w:rFonts w:ascii="Arial" w:cs="Arial" w:eastAsia="Arial" w:hAnsi="Arial"/>
        </w:rPr>
        <w:t xml:space="preserve">. Adding those, in the order above, completes a defensible target-nomination engine.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280"/>
        <w:sz w:val="16"/>
        <w:szCs w:val="16"/>
      </w:rPr>
      <w:t xml:space="preserve">Evidence-backed · code-grounded</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EE8" w:sz="4" w:space="4"/>
      </w:pBdr>
      <w:tabs>
        <w:tab w:val="right" w:pos="9360"/>
      </w:tabs>
    </w:pPr>
    <w:r>
      <w:rPr>
        <w:rFonts w:ascii="Arial" w:cs="Arial" w:eastAsia="Arial" w:hAnsi="Arial"/>
        <w:b/>
        <w:bCs/>
        <w:color w:val="2563EB"/>
        <w:sz w:val="16"/>
        <w:szCs w:val="16"/>
      </w:rPr>
      <w:t xml:space="preserve">Disease2Target</w:t>
    </w:r>
    <w:r>
      <w:rPr>
        <w:rFonts w:ascii="Arial" w:cs="Arial" w:eastAsia="Arial" w:hAnsi="Arial"/>
        <w:color w:val="6B7280"/>
        <w:sz w:val="16"/>
        <w:szCs w:val="16"/>
      </w:rPr>
      <w:t xml:space="preserve">	Target-Prioritization Funnel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5DEE8" w:sz="4"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563EB"/>
      <w:sz w:val="25"/>
      <w:szCs w:val="25"/>
    </w:rPr>
  </w:style>
  <w:style w:type="paragraph" w:styleId="Heading3">
    <w:name w:val="Heading 3"/>
    <w:basedOn w:val="Normal"/>
    <w:next w:val="Normal"/>
    <w:qFormat/>
    <w:pPr>
      <w:spacing w:after="80" w:before="18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Target-Prioritization Funnel</dc:title>
  <dc:creator>Disease2Target</dc:creator>
  <cp:lastModifiedBy>Un-named</cp:lastModifiedBy>
  <cp:revision>1</cp:revision>
  <dcterms:created xsi:type="dcterms:W3CDTF">2026-06-22T02:52:19.464Z</dcterms:created>
  <dcterms:modified xsi:type="dcterms:W3CDTF">2026-06-22T02:52:19.464Z</dcterms:modified>
</cp:coreProperties>
</file>

<file path=docProps/custom.xml><?xml version="1.0" encoding="utf-8"?>
<Properties xmlns="http://schemas.openxmlformats.org/officeDocument/2006/custom-properties" xmlns:vt="http://schemas.openxmlformats.org/officeDocument/2006/docPropsVTypes"/>
</file>