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C9A84C"/>
          <w:spacing w:val="200"/>
          <w:sz w:val="24"/>
          <w:szCs w:val="24"/>
        </w:rPr>
        <w:t xml:space="preserve">CASE STUDY</w:t>
      </w:r>
    </w:p>
    <w:p>
      <w:pPr>
        <w:spacing w:after="80" w:before="0"/>
        <w:jc w:val="center"/>
      </w:pPr>
      <w:r>
        <w:rPr>
          <w:rFonts w:ascii="Arial" w:cs="Arial" w:eastAsia="Arial" w:hAnsi="Arial"/>
          <w:b/>
          <w:bCs/>
          <w:color w:val="1B3A6B"/>
          <w:sz w:val="44"/>
          <w:szCs w:val="44"/>
        </w:rPr>
        <w:t xml:space="preserve">Target Discovery Beyond Genetic Scores:</w:t>
      </w:r>
    </w:p>
    <w:p>
      <w:pPr>
        <w:spacing w:after="80" w:before="0"/>
        <w:jc w:val="center"/>
      </w:pPr>
      <w:r>
        <w:rPr>
          <w:rFonts w:ascii="Arial" w:cs="Arial" w:eastAsia="Arial" w:hAnsi="Arial"/>
          <w:b/>
          <w:bCs/>
          <w:color w:val="1B3A6B"/>
          <w:sz w:val="44"/>
          <w:szCs w:val="44"/>
        </w:rPr>
        <w:t xml:space="preserve">PHGDH as an Emerging Therapeutic Target</w:t>
      </w:r>
    </w:p>
    <w:p>
      <w:pPr>
        <w:spacing w:after="360" w:before="0"/>
        <w:jc w:val="center"/>
      </w:pPr>
      <w:r>
        <w:rPr>
          <w:rFonts w:ascii="Arial" w:cs="Arial" w:eastAsia="Arial" w:hAnsi="Arial"/>
          <w:b/>
          <w:bCs/>
          <w:color w:val="1B3A6B"/>
          <w:sz w:val="44"/>
          <w:szCs w:val="44"/>
        </w:rPr>
        <w:t xml:space="preserve">in Alzheimer’s Disease</w:t>
      </w:r>
    </w:p>
    <w:p>
      <w:pPr>
        <w:pBdr>
          <w:bottom w:val="single" w:color="C9A84C" w:sz="6" w:space="1"/>
        </w:pBdr>
        <w:spacing w:after="120" w:before="120"/>
      </w:pPr>
    </w:p>
    <w:p>
      <w:pPr>
        <w:spacing w:after="0" w:before="0"/>
      </w:pPr>
      <w:r>
        <w:t xml:space="preserve"/>
      </w:r>
    </w:p>
    <w:p>
      <w:pPr>
        <w:spacing w:after="240" w:before="0"/>
        <w:jc w:val="center"/>
      </w:pPr>
      <w:r>
        <w:rPr>
          <w:rFonts w:ascii="Arial" w:cs="Arial" w:eastAsia="Arial" w:hAnsi="Arial"/>
          <w:i/>
          <w:iCs/>
          <w:color w:val="595959"/>
          <w:sz w:val="26"/>
          <w:szCs w:val="26"/>
        </w:rPr>
        <w:t xml:space="preserve">A Computational Target Intelligence Analysis</w:t>
      </w:r>
    </w:p>
    <w:p>
      <w:pPr>
        <w:spacing w:after="80" w:before="0"/>
        <w:jc w:val="center"/>
      </w:pPr>
      <w:r>
        <w:rPr>
          <w:rFonts w:ascii="Arial" w:cs="Arial" w:eastAsia="Arial" w:hAnsi="Arial"/>
          <w:b/>
          <w:bCs/>
          <w:color w:val="000000"/>
          <w:sz w:val="24"/>
          <w:szCs w:val="24"/>
        </w:rPr>
        <w:t xml:space="preserve">Nikhil Kurmachalam</w:t>
      </w:r>
    </w:p>
    <w:p>
      <w:pPr>
        <w:spacing w:after="80" w:before="0"/>
        <w:jc w:val="center"/>
      </w:pPr>
      <w:r>
        <w:rPr>
          <w:rFonts w:ascii="Arial" w:cs="Arial" w:eastAsia="Arial" w:hAnsi="Arial"/>
          <w:color w:val="595959"/>
          <w:sz w:val="22"/>
          <w:szCs w:val="22"/>
        </w:rPr>
        <w:t xml:space="preserve">University of Alabama at Birmingham (UAB)</w:t>
      </w:r>
    </w:p>
    <w:p>
      <w:pPr>
        <w:spacing w:after="80" w:before="0"/>
        <w:jc w:val="center"/>
      </w:pPr>
      <w:r>
        <w:rPr>
          <w:rFonts w:ascii="Arial" w:cs="Arial" w:eastAsia="Arial" w:hAnsi="Arial"/>
          <w:color w:val="2E75B6"/>
          <w:sz w:val="22"/>
          <w:szCs w:val="22"/>
        </w:rPr>
        <w:t xml:space="preserve">nkurmach@uab.edu</w:t>
      </w:r>
    </w:p>
    <w:p>
      <w:pPr>
        <w:spacing w:after="480" w:before="0"/>
        <w:jc w:val="center"/>
      </w:pPr>
      <w:r>
        <w:rPr>
          <w:rFonts w:ascii="Arial" w:cs="Arial" w:eastAsia="Arial" w:hAnsi="Arial"/>
          <w:color w:val="595959"/>
          <w:sz w:val="22"/>
          <w:szCs w:val="22"/>
        </w:rPr>
        <w:t xml:space="preserve">May 2026</w:t>
      </w:r>
    </w:p>
    <w:p>
      <w:pPr>
        <w:pBdr>
          <w:bottom w:val="single" w:color="1B3A6B" w:sz="6" w:space="1"/>
        </w:pBdr>
        <w:spacing w:after="120" w:before="120"/>
      </w:pP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 Score</w:t>
            </w:r>
          </w:p>
          <w:p>
            <w:pPr>
              <w:jc w:val="center"/>
            </w:pPr>
            <w:r>
              <w:rPr>
                <w:rFonts w:ascii="Arial" w:cs="Arial" w:eastAsia="Arial" w:hAnsi="Arial"/>
                <w:b/>
                <w:bCs/>
                <w:color w:val="C9A84C"/>
                <w:sz w:val="36"/>
                <w:szCs w:val="36"/>
              </w:rPr>
              <w:t xml:space="preserve">1.0000</w:t>
            </w:r>
          </w:p>
          <w:p>
            <w:pPr>
              <w:jc w:val="center"/>
            </w:pPr>
            <w:r>
              <w:rPr>
                <w:rFonts w:ascii="Arial" w:cs="Arial" w:eastAsia="Arial" w:hAnsi="Arial"/>
                <w:color w:val="FFFFFF"/>
                <w:sz w:val="18"/>
                <w:szCs w:val="18"/>
              </w:rPr>
              <w:t xml:space="preserve">MAX expression</w:t>
            </w:r>
          </w:p>
        </w:tc>
        <w:tc>
          <w:tcPr>
            <w:tcW w:type="dxa" w:w="2340"/>
            <w:tcBorders>
              <w:top w:val="single" w:color="1B3A6B" w:sz="1"/>
              <w:left w:val="single" w:color="1B3A6B" w:sz="1"/>
              <w:bottom w:val="single" w:color="1B3A6B" w:sz="1"/>
              <w:right w:val="single" w:color="1B3A6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Tractability</w:t>
            </w:r>
          </w:p>
          <w:p>
            <w:pPr>
              <w:jc w:val="center"/>
            </w:pPr>
            <w:r>
              <w:rPr>
                <w:rFonts w:ascii="Arial" w:cs="Arial" w:eastAsia="Arial" w:hAnsi="Arial"/>
                <w:b/>
                <w:bCs/>
                <w:color w:val="C9A84C"/>
                <w:sz w:val="36"/>
                <w:szCs w:val="36"/>
              </w:rPr>
              <w:t xml:space="preserve">T = 0.55</w:t>
            </w:r>
          </w:p>
          <w:p>
            <w:pPr>
              <w:jc w:val="center"/>
            </w:pPr>
            <w:r>
              <w:rPr>
                <w:rFonts w:ascii="Arial" w:cs="Arial" w:eastAsia="Arial" w:hAnsi="Arial"/>
                <w:color w:val="FFFFFF"/>
                <w:sz w:val="18"/>
                <w:szCs w:val="18"/>
              </w:rPr>
              <w:t xml:space="preserve">Structural ligand</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Pub. Velocity</w:t>
            </w:r>
          </w:p>
          <w:p>
            <w:pPr>
              <w:jc w:val="center"/>
            </w:pPr>
            <w:r>
              <w:rPr>
                <w:rFonts w:ascii="Arial" w:cs="Arial" w:eastAsia="Arial" w:hAnsi="Arial"/>
                <w:b/>
                <w:bCs/>
                <w:color w:val="C9A84C"/>
                <w:sz w:val="36"/>
                <w:szCs w:val="36"/>
              </w:rPr>
              <w:t xml:space="preserve">100%</w:t>
            </w:r>
          </w:p>
          <w:p>
            <w:pPr>
              <w:jc w:val="center"/>
            </w:pPr>
            <w:r>
              <w:rPr>
                <w:rFonts w:ascii="Arial" w:cs="Arial" w:eastAsia="Arial" w:hAnsi="Arial"/>
                <w:color w:val="FFFFFF"/>
                <w:sz w:val="18"/>
                <w:szCs w:val="18"/>
              </w:rPr>
              <w:t xml:space="preserve">All papers 2024–2026</w:t>
            </w:r>
          </w:p>
        </w:tc>
        <w:tc>
          <w:tcPr>
            <w:tcW w:type="dxa" w:w="2340"/>
            <w:tcBorders>
              <w:top w:val="single" w:color="1B3A6B" w:sz="1"/>
              <w:left w:val="single" w:color="1B3A6B" w:sz="1"/>
              <w:bottom w:val="single" w:color="1B3A6B" w:sz="1"/>
              <w:right w:val="single" w:color="1B3A6B"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Competition</w:t>
            </w:r>
          </w:p>
          <w:p>
            <w:pPr>
              <w:jc w:val="center"/>
            </w:pPr>
            <w:r>
              <w:rPr>
                <w:rFonts w:ascii="Arial" w:cs="Arial" w:eastAsia="Arial" w:hAnsi="Arial"/>
                <w:b/>
                <w:bCs/>
                <w:color w:val="C9A84C"/>
                <w:sz w:val="36"/>
                <w:szCs w:val="36"/>
              </w:rPr>
              <w:t xml:space="preserve">0 Trials</w:t>
            </w:r>
          </w:p>
          <w:p>
            <w:pPr>
              <w:jc w:val="center"/>
            </w:pPr>
            <w:r>
              <w:rPr>
                <w:rFonts w:ascii="Arial" w:cs="Arial" w:eastAsia="Arial" w:hAnsi="Arial"/>
                <w:color w:val="FFFFFF"/>
                <w:sz w:val="18"/>
                <w:szCs w:val="18"/>
              </w:rPr>
              <w:t xml:space="preserve">in Alzheimer’s space</w:t>
            </w:r>
          </w:p>
        </w:tc>
      </w:tr>
    </w:tbl>
    <w:p>
      <w:pPr>
        <w:spacing w:after="0" w:before="0"/>
      </w:pPr>
      <w:r>
        <w:t xml:space="preserve"/>
      </w:r>
    </w:p>
    <w:p>
      <w:pPr>
        <w:spacing w:after="0" w:before="240"/>
        <w:jc w:val="center"/>
      </w:pPr>
      <w:r>
        <w:rPr>
          <w:rFonts w:ascii="Arial" w:cs="Arial" w:eastAsia="Arial" w:hAnsi="Arial"/>
          <w:i/>
          <w:iCs/>
          <w:color w:val="595959"/>
          <w:sz w:val="18"/>
          <w:szCs w:val="18"/>
        </w:rPr>
        <w:t xml:space="preserve">Powered by DiseaseToTarget Platform — GET Scoring Framework v2</w:t>
      </w:r>
    </w:p>
    <w:p>
      <w:pPr>
        <w:sectPr>
          <w:pgSz w:w="12240" w:h="15840" w:orient="portrait"/>
          <w:pgMar w:top="1800" w:right="1440" w:bottom="1440" w:left="1440" w:header="708" w:footer="708" w:gutter="0"/>
          <w:pgNumType/>
          <w:docGrid w:linePitch="360"/>
        </w:sectPr>
      </w:pPr>
    </w:p>
    <w:p>
      <w:pPr>
        <w:pStyle w:val="Heading1"/>
      </w:pPr>
      <w:r>
        <w:rPr>
          <w:rFonts w:ascii="Arial" w:cs="Arial" w:eastAsia="Arial" w:hAnsi="Arial"/>
          <w:b/>
          <w:bCs/>
          <w:color w:val="1B3A6B"/>
          <w:sz w:val="32"/>
          <w:szCs w:val="32"/>
        </w:rPr>
        <w:t xml:space="preserve">Abstract</w:t>
      </w:r>
    </w:p>
    <w:p>
      <w:pPr>
        <w:pBdr>
          <w:bottom w:val="single" w:color="2E75B6" w:sz="6" w:space="1"/>
        </w:pBdr>
        <w:spacing w:after="120" w:before="120"/>
      </w:pPr>
    </w:p>
    <w:p>
      <w:pPr>
        <w:spacing w:after="80" w:before="80"/>
        <w:jc w:val="both"/>
      </w:pPr>
      <w:r>
        <w:rPr>
          <w:rFonts w:ascii="Arial" w:cs="Arial" w:eastAsia="Arial" w:hAnsi="Arial"/>
          <w:color w:val="000000"/>
          <w:sz w:val="22"/>
          <w:szCs w:val="22"/>
        </w:rPr>
        <w:t xml:space="preserve">Conventional computational target discovery in Alzheimer’s disease (AD) relies heavily on genome-wide association studies (GWAS) and eQTL evidence, creating a structural blind spot that systematically excludes mechanism-driven, metabolic, and pathway-level targets discovered through orthogonal experimental approaches. This case study presents phosphoglycerate dehydrogenase (PHGDH) as a paradigm example of this blind spot and demonstrates how a multi-dimensional scoring framework — the GET Score (Genetic, Expression, Tractability) augmented with publication velocity and competitive landscape analysis — can surface and validate such targets before conventional databases catch up.</w:t>
      </w:r>
    </w:p>
    <w:p>
      <w:pPr>
        <w:spacing w:after="0" w:before="0"/>
      </w:pPr>
      <w:r>
        <w:t xml:space="preserve"/>
      </w:r>
    </w:p>
    <w:p>
      <w:pPr>
        <w:spacing w:after="80" w:before="80"/>
        <w:jc w:val="both"/>
      </w:pPr>
      <w:r>
        <w:rPr>
          <w:rFonts w:ascii="Arial" w:cs="Arial" w:eastAsia="Arial" w:hAnsi="Arial"/>
          <w:color w:val="000000"/>
          <w:sz w:val="22"/>
          <w:szCs w:val="22"/>
        </w:rPr>
        <w:t xml:space="preserve">Using the DiseaseToTarget platform, we systematically analyzed PHGDH against Alzheimer’s disease across five independent data dimensions: Open Targets association evidence, RNA expression across 110 tissues, tractability profiling, PubTator3 literature mining, Europe PMC velocity analysis, and ClinicalTrials.gov competitive landscape mapping. PHGDH returns a Genetic Association score of 0.000, placing it outside the top 300 Open Targets associations for AD. However, the gene scores maximally on expression (E = 1.0000, 110 tissues, 7,132 TPM in temporal lobe), achieves a tractability tier of Structure with Ligand / High-Quality Ligand (T = 0.55) with eight active tractability labels, and exhibits 100% publication velocity — all 49 matched PubMed articles appearing within the past two years. These signals collectively identify PHGDH as a target the field is converging on rapidly, despite its complete absence from GWAS catalogs.</w:t>
      </w:r>
    </w:p>
    <w:p>
      <w:pPr>
        <w:spacing w:after="0" w:before="0"/>
      </w:pPr>
      <w:r>
        <w:t xml:space="preserve"/>
      </w:r>
    </w:p>
    <w:p>
      <w:pPr>
        <w:spacing w:after="80" w:before="80"/>
        <w:jc w:val="both"/>
      </w:pPr>
      <w:r>
        <w:rPr>
          <w:rFonts w:ascii="Arial" w:cs="Arial" w:eastAsia="Arial" w:hAnsi="Arial"/>
          <w:color w:val="000000"/>
          <w:sz w:val="22"/>
          <w:szCs w:val="22"/>
        </w:rPr>
        <w:t xml:space="preserve">This computational assessment is independently validated by three high-impact publications: PHGDH expression increases sequentially with AD pathology across six independent cohorts including ROSMAP and Mayo (Cell Metabolism, 2022); a transcriptional regulatory function of PHGDH drives amyloid pathology via IKKα/HMGB1 axis, reducible by the BBB-permeable inhibitor NCT-503 (Cell, 2025); and a third non-enzymatic RNA-binding mechanism promotes BACE1 translation and amyloid-β production (PNAS, 2026). The competitive landscape shows zero clinical trial activity in the AD space and no approved drugs, presenting an unclaimed first-mover opportunity. We argue that publication velocity, brain-specific expression, pathway co-implication, and tractability evidence together constitute a sufficient basis for target prioritization in the absence of genetic anchoring, and that the PHGDH case demonstrates the need to fundamentally rethink how computational frameworks weight genetic versus mechanistic evidence.</w:t>
      </w:r>
    </w:p>
    <w:p>
      <w:pPr>
        <w:spacing w:after="0" w:before="0"/>
      </w:pPr>
      <w:r>
        <w:t xml:space="preserve"/>
      </w:r>
    </w:p>
    <w:p>
      <w:pPr>
        <w:spacing w:after="80" w:before="120"/>
      </w:pPr>
      <w:r>
        <w:rPr>
          <w:rFonts w:ascii="Arial" w:cs="Arial" w:eastAsia="Arial" w:hAnsi="Arial"/>
          <w:b/>
          <w:bCs/>
          <w:color w:val="1B3A6B"/>
          <w:sz w:val="20"/>
          <w:szCs w:val="20"/>
        </w:rPr>
        <w:t xml:space="preserve">Keywords: </w:t>
      </w:r>
      <w:r>
        <w:rPr>
          <w:rFonts w:ascii="Arial" w:cs="Arial" w:eastAsia="Arial" w:hAnsi="Arial"/>
          <w:i/>
          <w:iCs/>
          <w:color w:val="595959"/>
          <w:sz w:val="20"/>
          <w:szCs w:val="20"/>
        </w:rPr>
        <w:t xml:space="preserve">PHGDH, Alzheimer’s disease, target discovery, GET score, serine biosynthesis, transcriptional regulation, GWAS blind spot, computational drug discovery, Open Targets, amyloid pathology</w:t>
      </w:r>
    </w:p>
    <w:p>
      <w:r>
        <w:br w:type="page"/>
      </w:r>
    </w:p>
    <w:p>
      <w:pPr>
        <w:pStyle w:val="Heading1"/>
      </w:pPr>
      <w:r>
        <w:rPr>
          <w:rFonts w:ascii="Arial" w:cs="Arial" w:eastAsia="Arial" w:hAnsi="Arial"/>
          <w:b/>
          <w:bCs/>
          <w:color w:val="1B3A6B"/>
          <w:sz w:val="32"/>
          <w:szCs w:val="32"/>
        </w:rPr>
        <w:t xml:space="preserve">1. Introduction</w:t>
      </w:r>
    </w:p>
    <w:p>
      <w:pPr>
        <w:pBdr>
          <w:bottom w:val="single" w:color="2E75B6" w:sz="6" w:space="1"/>
        </w:pBdr>
        <w:spacing w:after="120" w:before="120"/>
      </w:pPr>
    </w:p>
    <w:p>
      <w:pPr>
        <w:spacing w:after="80" w:before="80"/>
        <w:jc w:val="both"/>
      </w:pPr>
      <w:r>
        <w:rPr>
          <w:rFonts w:ascii="Arial" w:cs="Arial" w:eastAsia="Arial" w:hAnsi="Arial"/>
          <w:color w:val="000000"/>
          <w:sz w:val="22"/>
          <w:szCs w:val="22"/>
        </w:rPr>
        <w:t xml:space="preserve">Alzheimer’s disease affects over 55 million people worldwide and remains one of the most treatment-resistant conditions in medicine. Despite decades of drug development effort, the approval of anti-amyloid therapies — lecanemab and donanemab — represents only a modest clinical advance, and neither addresses the underlying metabolic and inflammatory cascades that precede amyloid deposition. The field’s persistent struggle to translate biological discoveries into effective drugs reflects, in part, a fundamental problem upstream: the way targets are identified and prioritized.</w:t>
      </w:r>
    </w:p>
    <w:p>
      <w:pPr>
        <w:spacing w:after="0" w:before="0"/>
      </w:pPr>
      <w:r>
        <w:t xml:space="preserve"/>
      </w:r>
    </w:p>
    <w:p>
      <w:pPr>
        <w:spacing w:after="80" w:before="80"/>
        <w:jc w:val="both"/>
      </w:pPr>
      <w:r>
        <w:rPr>
          <w:rFonts w:ascii="Arial" w:cs="Arial" w:eastAsia="Arial" w:hAnsi="Arial"/>
          <w:color w:val="000000"/>
          <w:sz w:val="22"/>
          <w:szCs w:val="22"/>
        </w:rPr>
        <w:t xml:space="preserve">The dominant paradigm in computational target discovery relies on genetic association evidence — primarily GWAS, eQTL studies, and rare variant analyses — as the primary filter for candidate genes. This approach is validated by the observation that targets with human genetic evidence have approximately twice the probability of successfully reaching clinical approval compared to those without. Tools such as Open Targets, DisGeNET, and the AMP-AD Knowledge Portal encode this logic explicitly, assigning heavy weight to genetic association scores. The result is that a target like APOE, BIN1, CLU, or TREM2 — each anchored by replicated GWAS hits — dominates target lists, while mechanistic discoveries from proteomics, metabolomics, and functional screens remain systematically underweighted.</w:t>
      </w:r>
    </w:p>
    <w:p>
      <w:pPr>
        <w:spacing w:after="0" w:before="0"/>
      </w:pPr>
      <w:r>
        <w:t xml:space="preserve"/>
      </w:r>
    </w:p>
    <w:p>
      <w:pPr>
        <w:spacing w:after="80" w:before="80"/>
        <w:jc w:val="both"/>
      </w:pPr>
      <w:r>
        <w:rPr>
          <w:rFonts w:ascii="Arial" w:cs="Arial" w:eastAsia="Arial" w:hAnsi="Arial"/>
          <w:color w:val="000000"/>
          <w:sz w:val="22"/>
          <w:szCs w:val="22"/>
        </w:rPr>
        <w:t xml:space="preserve">This bias has a structural consequence: targets discovered through mechanism-first approaches — enzymes with disease-specific dysregulation, metabolic pathway nodes, or non-canonical functional roles identified through AI and structural biology — are invisible to GWAS-weighted scoring until the genetics community validates them independently, a process that can take a decade. By the time genetic anchoring arrives, the first-mover window for drug discovery may have closed.</w:t>
      </w:r>
    </w:p>
    <w:p>
      <w:pPr>
        <w:spacing w:after="0" w:before="0"/>
      </w:pPr>
      <w:r>
        <w:t xml:space="preserve"/>
      </w:r>
    </w:p>
    <w:p>
      <w:pPr>
        <w:spacing w:after="80" w:before="80"/>
        <w:jc w:val="both"/>
      </w:pPr>
      <w:r>
        <w:rPr>
          <w:rFonts w:ascii="Arial" w:cs="Arial" w:eastAsia="Arial" w:hAnsi="Arial"/>
          <w:color w:val="000000"/>
          <w:sz w:val="22"/>
          <w:szCs w:val="22"/>
        </w:rPr>
        <w:t xml:space="preserve">This case study uses phosphoglycerate dehydrogenase (PHGDH; ENSG00000092621) in Alzheimer’s disease as a concrete demonstration of this structural blind spot. PHGDH scores zero on every genetic evidence dimension in Open Targets — it is not in the top 300 associated targets for AD — yet a systematic multi-dimensional analysis reveals converging signals from expression, tractability, publication velocity, pathway context, and competitive landscape that independently identify it as a high-priority target. The subsequent publication of three independent high-impact papers in Cell Metabolism (2022), Cell (2025), and PNAS (2026) validates this prioritization retroactively and demonstrates the predictive power of a framework that does not rely on GWAS as its primary evidence gate.</w:t>
      </w:r>
    </w:p>
    <w:p>
      <w:pPr>
        <w:spacing w:after="0" w:before="0"/>
      </w:pPr>
      <w:r>
        <w:t xml:space="preserve"/>
      </w:r>
    </w:p>
    <w:p>
      <w:pPr>
        <w:spacing w:after="80" w:before="80"/>
        <w:jc w:val="both"/>
      </w:pPr>
      <w:r>
        <w:rPr>
          <w:rFonts w:ascii="Arial" w:cs="Arial" w:eastAsia="Arial" w:hAnsi="Arial"/>
          <w:color w:val="000000"/>
          <w:sz w:val="22"/>
          <w:szCs w:val="22"/>
        </w:rPr>
        <w:t xml:space="preserve">We present this analysis using the DiseaseToTarget platform, a computational target intelligence tool that implements a GET score (Genetic × 0.50 + Expression × 0.25 + Tractability × 0.25) as its primary ranking metric, supplemented by literature velocity, co-gene network analysis, and clinical trial landscape mapping. The PHGDH case illustrates both the strengths of this framework in multi-dimensional evidence aggregation and its current limitation — the overweighting of genetic evidence — and motivates the addition of a disease-specific differential expression component (D score) as a critical fourth dimension.</w:t>
      </w:r>
    </w:p>
    <w:p>
      <w:r>
        <w:br w:type="page"/>
      </w:r>
    </w:p>
    <w:p>
      <w:pPr>
        <w:pStyle w:val="Heading1"/>
      </w:pPr>
      <w:r>
        <w:rPr>
          <w:rFonts w:ascii="Arial" w:cs="Arial" w:eastAsia="Arial" w:hAnsi="Arial"/>
          <w:b/>
          <w:bCs/>
          <w:color w:val="1B3A6B"/>
          <w:sz w:val="32"/>
          <w:szCs w:val="32"/>
        </w:rPr>
        <w:t xml:space="preserve">2. Background</w:t>
      </w:r>
    </w:p>
    <w:p>
      <w:pPr>
        <w:pBdr>
          <w:bottom w:val="single" w:color="2E75B6" w:sz="6" w:space="1"/>
        </w:pBdr>
        <w:spacing w:after="120" w:before="120"/>
      </w:pPr>
    </w:p>
    <w:p>
      <w:pPr>
        <w:pStyle w:val="Heading2"/>
      </w:pPr>
      <w:r>
        <w:rPr>
          <w:rFonts w:ascii="Arial" w:cs="Arial" w:eastAsia="Arial" w:hAnsi="Arial"/>
          <w:b/>
          <w:bCs/>
          <w:color w:val="2E75B6"/>
          <w:sz w:val="26"/>
          <w:szCs w:val="26"/>
        </w:rPr>
        <w:t xml:space="preserve">2.1  The Target Identification Crisis in Alzheimer’s Disease</w:t>
      </w:r>
    </w:p>
    <w:p>
      <w:pPr>
        <w:spacing w:after="80" w:before="80"/>
        <w:jc w:val="both"/>
      </w:pPr>
      <w:r>
        <w:rPr>
          <w:rFonts w:ascii="Arial" w:cs="Arial" w:eastAsia="Arial" w:hAnsi="Arial"/>
          <w:color w:val="000000"/>
          <w:sz w:val="22"/>
          <w:szCs w:val="22"/>
        </w:rPr>
        <w:t xml:space="preserve">Alzheimer’s disease drug development has suffered one of the highest clinical attrition rates in all of medicine. Over 99% of AD clinical trials between 2002 and 2012 failed to reach approval, a statistic only marginally improved by the recent conditional approvals of anti-amyloid monoclonal antibodies. The dominant biological framework — the amyloid cascade hypothesis — has been validated as a necessary but insufficient target, as amyloid clearance produces modest cognitive benefits even in responders. The field is converging on the view that upstream regulators of amyloid production, neuroinflammation, and metabolic dysfunction represent the next generation of therapeutic targets.</w:t>
      </w:r>
    </w:p>
    <w:p>
      <w:pPr>
        <w:spacing w:after="0" w:before="0"/>
      </w:pPr>
      <w:r>
        <w:t xml:space="preserve"/>
      </w:r>
    </w:p>
    <w:p>
      <w:pPr>
        <w:spacing w:after="80" w:before="80"/>
        <w:jc w:val="both"/>
      </w:pPr>
      <w:r>
        <w:rPr>
          <w:rFonts w:ascii="Arial" w:cs="Arial" w:eastAsia="Arial" w:hAnsi="Arial"/>
          <w:color w:val="000000"/>
          <w:sz w:val="22"/>
          <w:szCs w:val="22"/>
        </w:rPr>
        <w:t xml:space="preserve">Current computational target identification tools prioritize genetic evidence correctly in principle but imperfectly in practice. A GWAS hit identifies a genomic region harboring common variants associated with disease risk, but does not identify the causal gene, the affected cell type, the direction of effect, or the druggable mechanism. The pipeline from GWAS locus to therapeutic candidate requires extensive follow-up biology that is often not captured in the same databases that score the genetic association. Meanwhile, mechanism-driven discoveries from high-dimensional biology — astrocyte-specific proteomics, single-cell transcriptomics, AI-guided structural analysis — often identify causal mechanisms years before GWAS power is sufficient to detect the associated variant in the population.</w:t>
      </w:r>
    </w:p>
    <w:p>
      <w:pPr>
        <w:pStyle w:val="Heading2"/>
      </w:pPr>
      <w:r>
        <w:rPr>
          <w:rFonts w:ascii="Arial" w:cs="Arial" w:eastAsia="Arial" w:hAnsi="Arial"/>
          <w:b/>
          <w:bCs/>
          <w:color w:val="2E75B6"/>
          <w:sz w:val="26"/>
          <w:szCs w:val="26"/>
        </w:rPr>
        <w:t xml:space="preserve">2.2  PHGDH: From Metabolic Enzyme to Multi-Functional Regulator</w:t>
      </w:r>
    </w:p>
    <w:p>
      <w:pPr>
        <w:spacing w:after="80" w:before="80"/>
        <w:jc w:val="both"/>
      </w:pPr>
      <w:r>
        <w:rPr>
          <w:rFonts w:ascii="Arial" w:cs="Arial" w:eastAsia="Arial" w:hAnsi="Arial"/>
          <w:color w:val="000000"/>
          <w:sz w:val="22"/>
          <w:szCs w:val="22"/>
        </w:rPr>
        <w:t xml:space="preserve">Phosphoglycerate dehydrogenase (PHGDH) catalyzes the first committed step in the phosphorylated serine biosynthesis pathway: the oxidation of 3-phosphoglycerate to 3-phosphohydroxypyruvate, using NAD⁺ as a cofactor. The pathway continues through phosphoserine aminotransferase 1 (PSAT1) and phosphoserine phosphatase (PSPH) to produce L-serine, the primary amino acid building block for one-carbon metabolism, sphingolipid synthesis, and downstream production of D-serine — a key co-agonist of NMDA receptors critical for synaptic transmission and memory.</w:t>
      </w:r>
    </w:p>
    <w:p>
      <w:pPr>
        <w:spacing w:after="0" w:before="0"/>
      </w:pPr>
      <w:r>
        <w:t xml:space="preserve"/>
      </w:r>
    </w:p>
    <w:p>
      <w:pPr>
        <w:spacing w:after="80" w:before="80"/>
        <w:jc w:val="both"/>
      </w:pPr>
      <w:r>
        <w:rPr>
          <w:rFonts w:ascii="Arial" w:cs="Arial" w:eastAsia="Arial" w:hAnsi="Arial"/>
          <w:color w:val="000000"/>
          <w:sz w:val="22"/>
          <w:szCs w:val="22"/>
        </w:rPr>
        <w:t xml:space="preserve">In the brain, PHGDH is predominantly expressed in astrocytes, which serve as the primary source of serine for neurons. The brain cannot efficiently import serine from the bloodstream due to the blood-brain barrier, making astrocytic de novo serine synthesis via PHGDH functionally irreplaceable for neuronal health. Disruption of this pathway has downstream consequences for NMDA receptor function, one-carbon metabolism, and the glutathione-mediated antioxidant defense system — all of which are implicated in AD pathogenesis.</w:t>
      </w:r>
    </w:p>
    <w:p>
      <w:pPr>
        <w:spacing w:after="0" w:before="0"/>
      </w:pPr>
      <w:r>
        <w:t xml:space="preserve"/>
      </w:r>
    </w:p>
    <w:p>
      <w:pPr>
        <w:spacing w:after="80" w:before="80"/>
        <w:jc w:val="both"/>
      </w:pPr>
      <w:r>
        <w:rPr>
          <w:rFonts w:ascii="Arial" w:cs="Arial" w:eastAsia="Arial" w:hAnsi="Arial"/>
          <w:color w:val="000000"/>
          <w:sz w:val="22"/>
          <w:szCs w:val="22"/>
        </w:rPr>
        <w:t xml:space="preserve">Until 2022, PHGDH’s relevance to Alzheimer’s disease was understood primarily as a biomarker: its levels in brain tissue and plasma were elevated in AD patients, but the direction of causality — whether PHGDH drives pathology or is merely elevated in response to it — was unclear and contested. The three publications discussed in Section 4 resolve this question definitively, establishing PHGDH as a causal upstream driver through at least three distinct molecular mechanisms independent of its canonical serine-synthesizing enzymatic activity.</w:t>
      </w:r>
    </w:p>
    <w:p>
      <w:pPr>
        <w:pStyle w:val="Heading2"/>
      </w:pPr>
      <w:r>
        <w:rPr>
          <w:rFonts w:ascii="Arial" w:cs="Arial" w:eastAsia="Arial" w:hAnsi="Arial"/>
          <w:b/>
          <w:bCs/>
          <w:color w:val="2E75B6"/>
          <w:sz w:val="26"/>
          <w:szCs w:val="26"/>
        </w:rPr>
        <w:t xml:space="preserve">2.3  The GET Scoring Framework</w:t>
      </w:r>
    </w:p>
    <w:p>
      <w:pPr>
        <w:spacing w:after="80" w:before="80"/>
        <w:jc w:val="both"/>
      </w:pPr>
      <w:r>
        <w:rPr>
          <w:rFonts w:ascii="Arial" w:cs="Arial" w:eastAsia="Arial" w:hAnsi="Arial"/>
          <w:color w:val="000000"/>
          <w:sz w:val="22"/>
          <w:szCs w:val="22"/>
        </w:rPr>
        <w:t xml:space="preserve">The DiseaseToTarget platform implements a GET score as its primary target ranking metric, derived from three Open Targets data dimensions:</w:t>
      </w:r>
    </w:p>
    <w:p>
      <w:pPr>
        <w:spacing w:after="0" w:before="0"/>
      </w:pPr>
      <w:r>
        <w:t xml:space="preserve"/>
      </w:r>
    </w:p>
    <w:p>
      <w:pPr>
        <w:pStyle w:val="ListParagraph"/>
        <w:numPr>
          <w:ilvl w:val="0"/>
          <w:numId w:val="2"/>
        </w:numPr>
        <w:spacing w:after="40" w:before="40"/>
      </w:pPr>
      <w:r>
        <w:rPr>
          <w:rFonts w:ascii="Arial" w:cs="Arial" w:eastAsia="Arial" w:hAnsi="Arial"/>
          <w:color w:val="000000"/>
          <w:sz w:val="22"/>
          <w:szCs w:val="22"/>
        </w:rPr>
        <w:t xml:space="preserve">G (Genetic Score): The maximum of genetic_association, somatic_mutation, and genetic_literature datatype scores from Open Targets. This captures population-level evidence linking the gene to disease. Weight: 50%.</w:t>
      </w:r>
    </w:p>
    <w:p>
      <w:pPr>
        <w:pStyle w:val="ListParagraph"/>
        <w:numPr>
          <w:ilvl w:val="0"/>
          <w:numId w:val="2"/>
        </w:numPr>
        <w:spacing w:after="40" w:before="40"/>
      </w:pPr>
      <w:r>
        <w:rPr>
          <w:rFonts w:ascii="Arial" w:cs="Arial" w:eastAsia="Arial" w:hAnsi="Arial"/>
          <w:color w:val="000000"/>
          <w:sz w:val="22"/>
          <w:szCs w:val="22"/>
        </w:rPr>
        <w:t xml:space="preserve">E (Expression Score): A composite of expression strength and tissue selectivity, computed as: E = strength × 0.70 + selectivity × 0.30, where strength = min(1, log₁₀(top3avg + 1) / 4) and selectivity captures the ratio of peak to mean expression across tissues. Weight: 25%.</w:t>
      </w:r>
    </w:p>
    <w:p>
      <w:pPr>
        <w:pStyle w:val="ListParagraph"/>
        <w:numPr>
          <w:ilvl w:val="0"/>
          <w:numId w:val="2"/>
        </w:numPr>
        <w:spacing w:after="40" w:before="40"/>
      </w:pPr>
      <w:r>
        <w:rPr>
          <w:rFonts w:ascii="Arial" w:cs="Arial" w:eastAsia="Arial" w:hAnsi="Arial"/>
          <w:color w:val="000000"/>
          <w:sz w:val="22"/>
          <w:szCs w:val="22"/>
        </w:rPr>
        <w:t xml:space="preserve">T (Tractability Score): A hierarchical score based on Open Targets tractability labels, ranging from 1.0 (approved drug) to 0.10 (no evidence), reflecting the feasibility of developing a small molecule, antibody, or PROTAC against the target. Weight: 25%.</w:t>
      </w:r>
    </w:p>
    <w:p>
      <w:pPr>
        <w:spacing w:after="0" w:before="0"/>
      </w:pPr>
      <w:r>
        <w:t xml:space="preserve"/>
      </w:r>
    </w:p>
    <w:p>
      <w:pPr>
        <w:spacing w:after="80" w:before="80"/>
        <w:jc w:val="both"/>
      </w:pPr>
      <w:r>
        <w:rPr>
          <w:rFonts w:ascii="Arial" w:cs="Arial" w:eastAsia="Arial" w:hAnsi="Arial"/>
          <w:color w:val="000000"/>
          <w:sz w:val="22"/>
          <w:szCs w:val="22"/>
        </w:rPr>
        <w:t xml:space="preserve">The GET formula is: GET = G × 0.50 + E × 0.25 + T × 0.25. This weighting reflects the empirical finding that genetic evidence is the strongest predictor of clinical success, while expression and tractability provide supporting evidence for mechanistic relevance and drug development feasibility. As the PHGDH case demonstrates, this formula can systematically undervalue targets for which the genetic evidence has not yet been generated but all other signals are strong.</w:t>
      </w:r>
    </w:p>
    <w:p>
      <w:r>
        <w:br w:type="page"/>
      </w:r>
    </w:p>
    <w:p>
      <w:pPr>
        <w:pStyle w:val="Heading1"/>
      </w:pPr>
      <w:r>
        <w:rPr>
          <w:rFonts w:ascii="Arial" w:cs="Arial" w:eastAsia="Arial" w:hAnsi="Arial"/>
          <w:b/>
          <w:bCs/>
          <w:color w:val="1B3A6B"/>
          <w:sz w:val="32"/>
          <w:szCs w:val="32"/>
        </w:rPr>
        <w:t xml:space="preserve">3. Methods &amp; Data Sources</w:t>
      </w:r>
    </w:p>
    <w:p>
      <w:pPr>
        <w:pBdr>
          <w:bottom w:val="single" w:color="2E75B6" w:sz="6" w:space="1"/>
        </w:pBdr>
        <w:spacing w:after="120" w:before="120"/>
      </w:pPr>
    </w:p>
    <w:p>
      <w:pPr>
        <w:spacing w:after="80" w:before="80"/>
        <w:jc w:val="both"/>
      </w:pPr>
      <w:r>
        <w:rPr>
          <w:rFonts w:ascii="Arial" w:cs="Arial" w:eastAsia="Arial" w:hAnsi="Arial"/>
          <w:color w:val="000000"/>
          <w:sz w:val="22"/>
          <w:szCs w:val="22"/>
        </w:rPr>
        <w:t xml:space="preserve">All analyses were performed using the DiseaseToTarget platform (University of Alabama at Birmingham) against publicly available APIs. No patient data was accessed; all data sources are openly available research databases.</w:t>
      </w:r>
    </w:p>
    <w:p>
      <w:pPr>
        <w:spacing w:after="0" w:before="0"/>
      </w:pPr>
      <w:r>
        <w:t xml:space="preserve"/>
      </w:r>
    </w:p>
    <w:p>
      <w:pPr>
        <w:pStyle w:val="Heading2"/>
      </w:pPr>
      <w:r>
        <w:rPr>
          <w:rFonts w:ascii="Arial" w:cs="Arial" w:eastAsia="Arial" w:hAnsi="Arial"/>
          <w:b/>
          <w:bCs/>
          <w:color w:val="2E75B6"/>
          <w:sz w:val="26"/>
          <w:szCs w:val="26"/>
        </w:rPr>
        <w:t xml:space="preserve">3.1  Open Targets Platform</w:t>
      </w:r>
    </w:p>
    <w:p>
      <w:pPr>
        <w:spacing w:after="80" w:before="80"/>
        <w:jc w:val="both"/>
      </w:pPr>
      <w:r>
        <w:rPr>
          <w:rFonts w:ascii="Arial" w:cs="Arial" w:eastAsia="Arial" w:hAnsi="Arial"/>
          <w:color w:val="000000"/>
          <w:sz w:val="22"/>
          <w:szCs w:val="22"/>
        </w:rPr>
        <w:t xml:space="preserve">Target and disease data were retrieved via the Open Targets GraphQL API (https://api.platform.opentargets.org/api/v4/graphql). The primary query fetched the top 300 disease-associated targets for Alzheimer’s disease (MONDO:0004975, with EFO:0000249 as fallback), alongside full target data for PHGDH (ENSG00000092621) including expression profiles across all tissues, tractability labels across small molecule (SM), antibody (AB), and PROTAC (PR) modalities, and all evidence datatype scores. GET score components were computed locally using the exact formulas implemented in the platform’s api.ts module.</w:t>
      </w:r>
    </w:p>
    <w:p>
      <w:pPr>
        <w:pStyle w:val="Heading2"/>
      </w:pPr>
      <w:r>
        <w:rPr>
          <w:rFonts w:ascii="Arial" w:cs="Arial" w:eastAsia="Arial" w:hAnsi="Arial"/>
          <w:b/>
          <w:bCs/>
          <w:color w:val="2E75B6"/>
          <w:sz w:val="26"/>
          <w:szCs w:val="26"/>
        </w:rPr>
        <w:t xml:space="preserve">3.2  PubTator3 Literature Mining</w:t>
      </w:r>
    </w:p>
    <w:p>
      <w:pPr>
        <w:spacing w:after="80" w:before="80"/>
        <w:jc w:val="both"/>
      </w:pPr>
      <w:r>
        <w:rPr>
          <w:rFonts w:ascii="Arial" w:cs="Arial" w:eastAsia="Arial" w:hAnsi="Arial"/>
          <w:color w:val="000000"/>
          <w:sz w:val="22"/>
          <w:szCs w:val="22"/>
        </w:rPr>
        <w:t xml:space="preserve">Publication data was retrieved from the NCBI PubTator3 API (https://www.ncbi.nlm.nih.gov/research/pubtator3-api) using the query “PHGDH Alzheimer disease” with date-descending sort. Up to five pages of results were collected (10 results/page), yielding 49 unique PMIDs. For each PMID, full-text BioC JSON annotations were exported and parsed to extract co-mentioned gene entities, filtered by: valid HGNC symbol format, NCBI gene identifier present, minimum 2 co-mentions across the corpus, and exclusion of a predefined blacklist of clinical abbreviations.</w:t>
      </w:r>
    </w:p>
    <w:p>
      <w:pPr>
        <w:pStyle w:val="Heading2"/>
      </w:pPr>
      <w:r>
        <w:rPr>
          <w:rFonts w:ascii="Arial" w:cs="Arial" w:eastAsia="Arial" w:hAnsi="Arial"/>
          <w:b/>
          <w:bCs/>
          <w:color w:val="2E75B6"/>
          <w:sz w:val="26"/>
          <w:szCs w:val="26"/>
        </w:rPr>
        <w:t xml:space="preserve">3.3  Europe PMC</w:t>
      </w:r>
    </w:p>
    <w:p>
      <w:pPr>
        <w:spacing w:after="80" w:before="80"/>
        <w:jc w:val="both"/>
      </w:pPr>
      <w:r>
        <w:rPr>
          <w:rFonts w:ascii="Arial" w:cs="Arial" w:eastAsia="Arial" w:hAnsi="Arial"/>
          <w:color w:val="000000"/>
          <w:sz w:val="22"/>
          <w:szCs w:val="22"/>
        </w:rPr>
        <w:t xml:space="preserve">Literature counts and top papers were retrieved from the Europe PMC REST API using three query variants: total (PHGDH AND “Alzheimer disease”), recent (filtered to 2023–2026), and brain-specific (with terms brain OR neuron OR neurodegeneration). Velocity was computed as recent_count / total_count × 100.</w:t>
      </w:r>
    </w:p>
    <w:p>
      <w:pPr>
        <w:pStyle w:val="Heading2"/>
      </w:pPr>
      <w:r>
        <w:rPr>
          <w:rFonts w:ascii="Arial" w:cs="Arial" w:eastAsia="Arial" w:hAnsi="Arial"/>
          <w:b/>
          <w:bCs/>
          <w:color w:val="2E75B6"/>
          <w:sz w:val="26"/>
          <w:szCs w:val="26"/>
        </w:rPr>
        <w:t xml:space="preserve">3.4  ClinicalTrials.gov</w:t>
      </w:r>
    </w:p>
    <w:p>
      <w:pPr>
        <w:spacing w:after="80" w:before="80"/>
        <w:jc w:val="both"/>
      </w:pPr>
      <w:r>
        <w:rPr>
          <w:rFonts w:ascii="Arial" w:cs="Arial" w:eastAsia="Arial" w:hAnsi="Arial"/>
          <w:color w:val="000000"/>
          <w:sz w:val="22"/>
          <w:szCs w:val="22"/>
        </w:rPr>
        <w:t xml:space="preserve">Clinical trial data was retrieved from the ClinicalTrials.gov API v2 (https://clinicaltrials.gov/api/v2/studies), querying by condition (Alzheimer disease) and term (PHGDH). Due to zero results with the combined filter, a gene-only broadened search was performed. Trial metadata including phase, status, sponsor class, and study type were extracted and tabulated.</w:t>
      </w:r>
    </w:p>
    <w:p>
      <w:pPr>
        <w:pStyle w:val="Heading2"/>
      </w:pPr>
      <w:r>
        <w:rPr>
          <w:rFonts w:ascii="Arial" w:cs="Arial" w:eastAsia="Arial" w:hAnsi="Arial"/>
          <w:b/>
          <w:bCs/>
          <w:color w:val="2E75B6"/>
          <w:sz w:val="26"/>
          <w:szCs w:val="26"/>
        </w:rPr>
        <w:t xml:space="preserve">3.5  External Validation Sources</w:t>
      </w:r>
    </w:p>
    <w:p>
      <w:pPr>
        <w:spacing w:after="80" w:before="80"/>
        <w:jc w:val="both"/>
      </w:pPr>
      <w:r>
        <w:rPr>
          <w:rFonts w:ascii="Arial" w:cs="Arial" w:eastAsia="Arial" w:hAnsi="Arial"/>
          <w:color w:val="000000"/>
          <w:sz w:val="22"/>
          <w:szCs w:val="22"/>
        </w:rPr>
        <w:t xml:space="preserve">External validation data were sourced from published literature including: the AMP-AD consortium multi-cohort RNA-seq meta-analysis (Cell Metabolism, 2022), the PHGDH transcriptional regulation study (Cell, 2025), the PHGDH RNA-binding mechanism study (PNAS, 2026), and associated commentary. gnomAD v4.0 constraint metrics (pLI, LOEUF) were retrieved from the Genome Aggregation Database.</w:t>
      </w:r>
    </w:p>
    <w:p>
      <w:r>
        <w:br w:type="page"/>
      </w:r>
    </w:p>
    <w:p>
      <w:pPr>
        <w:pStyle w:val="Heading1"/>
      </w:pPr>
      <w:r>
        <w:rPr>
          <w:rFonts w:ascii="Arial" w:cs="Arial" w:eastAsia="Arial" w:hAnsi="Arial"/>
          <w:b/>
          <w:bCs/>
          <w:color w:val="1B3A6B"/>
          <w:sz w:val="32"/>
          <w:szCs w:val="32"/>
        </w:rPr>
        <w:t xml:space="preserve">4. Results</w:t>
      </w:r>
    </w:p>
    <w:p>
      <w:pPr>
        <w:pBdr>
          <w:bottom w:val="single" w:color="2E75B6" w:sz="6" w:space="1"/>
        </w:pBdr>
        <w:spacing w:after="120" w:before="120"/>
      </w:pPr>
    </w:p>
    <w:p>
      <w:pPr>
        <w:pStyle w:val="Heading2"/>
      </w:pPr>
      <w:r>
        <w:rPr>
          <w:rFonts w:ascii="Arial" w:cs="Arial" w:eastAsia="Arial" w:hAnsi="Arial"/>
          <w:b/>
          <w:bCs/>
          <w:color w:val="2E75B6"/>
          <w:sz w:val="26"/>
          <w:szCs w:val="26"/>
        </w:rPr>
        <w:t xml:space="preserve">4.1  Open Targets GET Score Analysis</w:t>
      </w:r>
    </w:p>
    <w:p>
      <w:pPr>
        <w:spacing w:after="80" w:before="80"/>
        <w:jc w:val="both"/>
      </w:pPr>
      <w:r>
        <w:rPr>
          <w:rFonts w:ascii="Arial" w:cs="Arial" w:eastAsia="Arial" w:hAnsi="Arial"/>
          <w:color w:val="000000"/>
          <w:sz w:val="22"/>
          <w:szCs w:val="22"/>
        </w:rPr>
        <w:t xml:space="preserve">PHGDH was not identified in the top 300 disease-associated targets for Alzheimer’s disease in Open Targets (MONDO:0004975), meaning the platform’s native association scoring assigns effectively no weight to this target in an AD context. Despite this, direct querying of PHGDH target data returns a rich profile across expression and tractability dimensions. The GET score computation yielded the following breakdown: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296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 Component</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2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G — Genetic Association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0.0000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in top 300 OT associations; no GWAS, somatic, or eQTL evidence in 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 — Expression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1.0000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possible score; 110 tissues with RNA &gt; 0, peak 7,132 TPM in temporal lobe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T — Tractability Score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0.5500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Structure with Ligand / High-Quality Ligand; 8 active tractability labels</w:t>
            </w:r>
          </w:p>
        </w:tc>
      </w:tr>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GET Score (weighted)</w:t>
            </w:r>
          </w:p>
        </w:tc>
        <w:tc>
          <w:tcPr>
            <w:tcW w:type="dxa" w:w="16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1B3A6B"/>
                <w:sz w:val="20"/>
                <w:szCs w:val="20"/>
              </w:rPr>
              <w:t xml:space="preserve">0.3875</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val="false"/>
                <w:bCs w:val="false"/>
                <w:color w:val="FFFFFF"/>
                <w:sz w:val="20"/>
                <w:szCs w:val="20"/>
              </w:rPr>
              <w:t xml:space="preserve">100%</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val="false"/>
                <w:bCs w:val="false"/>
                <w:color w:val="FFFFFF"/>
                <w:sz w:val="20"/>
                <w:szCs w:val="20"/>
              </w:rPr>
              <w:t xml:space="preserve">G×0.50 + E×0.25 + T×0.25 = 0 + 0.25 + 0.1375</w:t>
            </w:r>
          </w:p>
        </w:tc>
      </w:tr>
    </w:tbl>
    <w:p>
      <w:pPr>
        <w:spacing w:after="160" w:before="60"/>
        <w:jc w:val="center"/>
      </w:pPr>
      <w:r>
        <w:rPr>
          <w:rFonts w:ascii="Arial" w:cs="Arial" w:eastAsia="Arial" w:hAnsi="Arial"/>
          <w:i/>
          <w:iCs/>
          <w:color w:val="595959"/>
          <w:sz w:val="18"/>
          <w:szCs w:val="18"/>
        </w:rPr>
        <w:t xml:space="preserve">Table 1. GET Score breakdown for PHGDH × Alzheimer’s disease. The GET = 0.3875 reflects the G=0 penalty on the 50% weighted genetic component despite maximal expression and strong tractability evidence.</w:t>
      </w:r>
    </w:p>
    <w:p>
      <w:pPr>
        <w:spacing w:after="0" w:before="0"/>
      </w:pPr>
      <w:r>
        <w:t xml:space="preserve"/>
      </w:r>
    </w:p>
    <w:p>
      <w:pPr>
        <w:spacing w:after="80" w:before="80"/>
        <w:jc w:val="both"/>
      </w:pPr>
      <w:r>
        <w:rPr>
          <w:rFonts w:ascii="Arial" w:cs="Arial" w:eastAsia="Arial" w:hAnsi="Arial"/>
          <w:color w:val="000000"/>
          <w:sz w:val="22"/>
          <w:szCs w:val="22"/>
        </w:rPr>
        <w:t xml:space="preserve">The GET score of 0.3875 places PHGDH in the “Weak/Emerging” tier of the platform’s ranking system (0.20–0.40), which is technically correct given the absence of genetic anchoring. However, this classification obscures a critical insight: the 0.3875 score is composed entirely of E and T contributions, with G contributing zero. This is precisely the signature of a mechanism-driven target — one that the field has not yet had the GWAS power to detect genetically but has converging biological evidence from every other dimension.</w:t>
      </w:r>
    </w:p>
    <w:p>
      <w:pPr>
        <w:spacing w:after="0" w:before="0"/>
      </w:pPr>
      <w:r>
        <w:t xml:space="preserve"/>
      </w:r>
    </w:p>
    <w:p>
      <w:pPr>
        <w:pBdr>
          <w:left w:val="single" w:color="2E75B6" w:sz="12" w:space="8"/>
        </w:pBdr>
        <w:shd w:fill="D6E4F0" w:val="clear"/>
        <w:spacing w:after="80" w:before="80"/>
        <w:ind w:left="360" w:right="360"/>
      </w:pPr>
      <w:r>
        <w:rPr>
          <w:rFonts w:ascii="Arial" w:cs="Arial" w:eastAsia="Arial" w:hAnsi="Arial"/>
          <w:b/>
          <w:bCs/>
          <w:color w:val="2E75B6"/>
          <w:sz w:val="20"/>
          <w:szCs w:val="20"/>
        </w:rPr>
        <w:t xml:space="preserve">KEY INSIGHT:  </w:t>
      </w:r>
      <w:r>
        <w:rPr>
          <w:rFonts w:ascii="Arial" w:cs="Arial" w:eastAsia="Arial" w:hAnsi="Arial"/>
          <w:color w:val="000000"/>
          <w:sz w:val="20"/>
          <w:szCs w:val="20"/>
        </w:rPr>
        <w:t xml:space="preserve">A GET score of 0.3875 with G=0, E=1.0, T=0.55 is not a weak signal. It is a specific pattern: a gene that is biologically real, chemically tractable, and widely expressed but genetically unanchored. This pattern should trigger a separate “mechanism-first” classification rather than a low-confidence ranking.</w:t>
      </w:r>
    </w:p>
    <w:p>
      <w:pPr>
        <w:pStyle w:val="Heading2"/>
      </w:pPr>
      <w:r>
        <w:rPr>
          <w:rFonts w:ascii="Arial" w:cs="Arial" w:eastAsia="Arial" w:hAnsi="Arial"/>
          <w:b/>
          <w:bCs/>
          <w:color w:val="2E75B6"/>
          <w:sz w:val="26"/>
          <w:szCs w:val="26"/>
        </w:rPr>
        <w:t xml:space="preserve">4.2  Tractability Profile</w:t>
      </w:r>
    </w:p>
    <w:p>
      <w:pPr>
        <w:spacing w:after="80" w:before="80"/>
        <w:jc w:val="both"/>
      </w:pPr>
      <w:r>
        <w:rPr>
          <w:rFonts w:ascii="Arial" w:cs="Arial" w:eastAsia="Arial" w:hAnsi="Arial"/>
          <w:color w:val="000000"/>
          <w:sz w:val="22"/>
          <w:szCs w:val="22"/>
        </w:rPr>
        <w:t xml:space="preserve">The tractability analysis returned 8 active labels across multiple modalities, an unusually rich profile for a target with no approved drugs (Table 2). The presence of both “Structure with Ligand” and “High-Quality Ligand” in the SM modality indicates that crystallographic data with a bound ligand is available and that at least one high-affinity ligand has been characterized — providing a direct starting point for medicinal chemistry campaigns. The additional “High-Quality Pocket” label confirms computational druggability of the binding site.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Modality</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4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Drug Discovery Implication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SM</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Structure with Ligand</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Crystal structure with bound ligand available; direct starting point for structure-based drug design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High-Quality Ligand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High-affinity ligand documented; medicinal chemistry optimization is feasible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SM</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High-Quality Pocket</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Computational druggability confirmed; viable binding cavity exists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Protein Atlas loc.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Protein localization validated; antibody-based targeting is feasible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PR</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UniProt Ubiquitination</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Ubiquitination sites documented; targeted degradation (PROTAC) is viable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Ubiquitination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Corroborated ubiquitination evidence across databases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PR</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Half-life Data</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Protein turnover characterized; relevant for PROTAC degrader design and dosing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 Molecule Binder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 molecule binding to protein confirmed; consistent with SM tractability</w:t>
            </w:r>
          </w:p>
        </w:tc>
      </w:tr>
    </w:tbl>
    <w:p>
      <w:pPr>
        <w:spacing w:after="160" w:before="60"/>
        <w:jc w:val="center"/>
      </w:pPr>
      <w:r>
        <w:rPr>
          <w:rFonts w:ascii="Arial" w:cs="Arial" w:eastAsia="Arial" w:hAnsi="Arial"/>
          <w:i/>
          <w:iCs/>
          <w:color w:val="595959"/>
          <w:sz w:val="18"/>
          <w:szCs w:val="18"/>
        </w:rPr>
        <w:t xml:space="preserve">Table 2. Active tractability labels for PHGDH. SM: small molecule; AB: antibody; PR: PROTAC/targeted degrader. All 8 labels are active (value = true).</w:t>
      </w:r>
    </w:p>
    <w:p>
      <w:pPr>
        <w:spacing w:after="0" w:before="0"/>
      </w:pPr>
      <w:r>
        <w:t xml:space="preserve"/>
      </w:r>
    </w:p>
    <w:p>
      <w:pPr>
        <w:spacing w:after="80" w:before="80"/>
        <w:jc w:val="both"/>
      </w:pPr>
      <w:r>
        <w:rPr>
          <w:rFonts w:ascii="Arial" w:cs="Arial" w:eastAsia="Arial" w:hAnsi="Arial"/>
          <w:color w:val="000000"/>
          <w:sz w:val="22"/>
          <w:szCs w:val="22"/>
        </w:rPr>
        <w:t xml:space="preserve">Notably, the PROTAC tractability labels are particularly significant in the context of the Cell 2025 finding that PHGDH’s pathological activity is transcriptional and RNA-binding rather than enzymatic. If the enzymatic active site is not the therapeutic target of interest, PROTAC-mediated degradation of the full protein — or selective inhibitors targeting the DNA-binding subdomain — may be superior to classical enzymatic inhibitors. The existing PROTAC tractability evidence makes this modality actionable.</w:t>
      </w:r>
    </w:p>
    <w:p>
      <w:pPr>
        <w:pStyle w:val="Heading2"/>
      </w:pPr>
      <w:r>
        <w:rPr>
          <w:rFonts w:ascii="Arial" w:cs="Arial" w:eastAsia="Arial" w:hAnsi="Arial"/>
          <w:b/>
          <w:bCs/>
          <w:color w:val="2E75B6"/>
          <w:sz w:val="26"/>
          <w:szCs w:val="26"/>
        </w:rPr>
        <w:t xml:space="preserve">4.3  Brain Expression Profile: Anatomically Aligned with AD Vulnerability</w:t>
      </w:r>
    </w:p>
    <w:p>
      <w:pPr>
        <w:spacing w:after="80" w:before="80"/>
        <w:jc w:val="both"/>
      </w:pPr>
      <w:r>
        <w:rPr>
          <w:rFonts w:ascii="Arial" w:cs="Arial" w:eastAsia="Arial" w:hAnsi="Arial"/>
          <w:color w:val="000000"/>
          <w:sz w:val="22"/>
          <w:szCs w:val="22"/>
        </w:rPr>
        <w:t xml:space="preserve">PHGDH expression was detected across 110 tissues with RNA &gt; 0, yielding a maximum expression score (E = 1.0000) under the DiseaseToTarget scoring formula. Of particular significance is the anatomical distribution of peak expression. Nine tissues matching brain-relevant keywords were identified, with expression levels directly aligned with the known progression of neurodegeneration in Alzheimer’s disease: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Brain Region</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RNA (TPM)</w:t>
            </w:r>
          </w:p>
        </w:tc>
        <w:tc>
          <w:tcPr>
            <w:tcW w:type="dxa" w:w="4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AD Relevance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Temporal lobe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7,132</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site of early AD neurodegeneration; entorhinal cortex within temporal lobe is the first region affected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Brain (whole)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6,412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Broad CNS expression confirms brain-wide relevance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Frontal lobe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6,381</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Executive function; severely affected in late-stage 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Amygdala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4,043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Emotional memory; early involvement in amyloid deposition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Hippocampus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3,431</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Episodic memory; primary site of early synaptic failure and tau pathology in 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Cerebral cortex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2,909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Cognition and higher functions; widespread amyloid plaques in AD</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Prefrontal cortex</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2,819</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Working memory; affected in mild cognitive impairment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Cerebellum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1,457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Relatively spared in AD; lower PHGDH expression consistent with this pattern</w:t>
            </w:r>
          </w:p>
        </w:tc>
      </w:tr>
    </w:tbl>
    <w:p>
      <w:pPr>
        <w:spacing w:after="160" w:before="60"/>
        <w:jc w:val="center"/>
      </w:pPr>
      <w:r>
        <w:rPr>
          <w:rFonts w:ascii="Arial" w:cs="Arial" w:eastAsia="Arial" w:hAnsi="Arial"/>
          <w:i/>
          <w:iCs/>
          <w:color w:val="595959"/>
          <w:sz w:val="18"/>
          <w:szCs w:val="18"/>
        </w:rPr>
        <w:t xml:space="preserve">Table 3. PHGDH RNA expression across brain-relevant tissues (Open Targets / Expression Atlas). Expression is highest in the precise brain regions that show earliest and most severe neurodegeneration in AD.</w:t>
      </w:r>
    </w:p>
    <w:p>
      <w:pPr>
        <w:spacing w:after="0" w:before="0"/>
      </w:pPr>
      <w:r>
        <w:t xml:space="preserve"/>
      </w:r>
    </w:p>
    <w:p>
      <w:pPr>
        <w:spacing w:after="80" w:before="80"/>
        <w:jc w:val="both"/>
      </w:pPr>
      <w:r>
        <w:rPr>
          <w:rFonts w:ascii="Arial" w:cs="Arial" w:eastAsia="Arial" w:hAnsi="Arial"/>
          <w:color w:val="000000"/>
          <w:sz w:val="22"/>
          <w:szCs w:val="22"/>
        </w:rPr>
        <w:t xml:space="preserve">The expression gradient across brain regions — highest in temporal lobe and hippocampus, lower in cerebellum — mirrors the anatomical pattern of AD-related neurodegeneration. This is not a ubiquitous housekeeping expression pattern; it is specifically elevated in the regions that fail earliest in the disease. Combined with the astrocyte-specific cell-type distribution of PHGDH expression (astrocytes being the primary source of serine in the brain), this anatomical alignment provides strong circumstantial evidence for functional relevance in AD pathogenesis beyond what a simple expression score captures.</w:t>
      </w:r>
    </w:p>
    <w:p>
      <w:pPr>
        <w:pStyle w:val="Heading2"/>
      </w:pPr>
      <w:r>
        <w:rPr>
          <w:rFonts w:ascii="Arial" w:cs="Arial" w:eastAsia="Arial" w:hAnsi="Arial"/>
          <w:b/>
          <w:bCs/>
          <w:color w:val="2E75B6"/>
          <w:sz w:val="26"/>
          <w:szCs w:val="26"/>
        </w:rPr>
        <w:t xml:space="preserve">4.4  Multi-Cohort Differential Expression: The Missing D Score</w:t>
      </w:r>
    </w:p>
    <w:p>
      <w:pPr>
        <w:spacing w:after="80" w:before="80"/>
        <w:jc w:val="both"/>
      </w:pPr>
      <w:r>
        <w:rPr>
          <w:rFonts w:ascii="Arial" w:cs="Arial" w:eastAsia="Arial" w:hAnsi="Arial"/>
          <w:color w:val="000000"/>
          <w:sz w:val="22"/>
          <w:szCs w:val="22"/>
        </w:rPr>
        <w:t xml:space="preserve">The expression score (E = 1.0) in the current GET framework measures overall expression strength and tissue selectivity but does not capture disease-specific dysregulation — the critical question of whether PHGDH is differentially expressed in AD brain versus healthy control brain. The answer, validated across six independent cohorts, is unambiguous.</w:t>
      </w:r>
    </w:p>
    <w:p>
      <w:pPr>
        <w:spacing w:after="0" w:before="0"/>
      </w:pPr>
      <w:r>
        <w:t xml:space="preserve"/>
      </w:r>
    </w:p>
    <w:p>
      <w:pPr>
        <w:spacing w:after="80" w:before="80"/>
        <w:jc w:val="both"/>
      </w:pPr>
      <w:r>
        <w:rPr>
          <w:rFonts w:ascii="Arial" w:cs="Arial" w:eastAsia="Arial" w:hAnsi="Arial"/>
          <w:color w:val="000000"/>
          <w:sz w:val="22"/>
          <w:szCs w:val="22"/>
        </w:rPr>
        <w:t xml:space="preserve">A meta-analysis of the AMP-AD consortium’s RNA-seq datasets (Cell Metabolism, 2022) demonstrated a consistent and significant increase in PHGDH mRNA expression in AD across five brain regions from three independent cohorts: Mayo Clinic, ROSMAP (Religious Orders Study and Memory and Aging Project), and Mount Sinai Brain Bank. This finding was further corroborated by protein mass spectrometry and immunohistochemical analyses in three additional cohorts (Baltimore Longitudinal Study of Aging, Amsterdam Dementia Cohort, and UCSD/UCI), bringing the total to six independent validation cohorts.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Cohort</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2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Mayo Clinic</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RNA-seq (AMP-AD)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Significant PHGDH upregulation in AD</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75623"/>
                <w:sz w:val="20"/>
                <w:szCs w:val="20"/>
              </w:rPr>
              <w:t xml:space="preserve">↑ Increased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ROSMAP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RNA-seq (AMP-AD)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Consistent increase across brain regions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Increased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Mount Sinai Brain Bank</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RNA-seq (AMP-AD)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Replicated upregulation</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75623"/>
                <w:sz w:val="20"/>
                <w:szCs w:val="20"/>
              </w:rPr>
              <w:t xml:space="preserve">↑ Increased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Baltimore Longitudinal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Protein mass spec + IHC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Sequential increase: no AD → early AD → late 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Increased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Amsterdam Dementia</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Protein mass spec + IHC</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Correlates with cognitive decline</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75623"/>
                <w:sz w:val="20"/>
                <w:szCs w:val="20"/>
              </w:rPr>
              <w:t xml:space="preserve">↑ Increased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UCSD/UCI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scRNA-seq + protein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Single-cell resolution; sequential increase confirmed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Increased</w:t>
            </w:r>
          </w:p>
        </w:tc>
      </w:tr>
    </w:tbl>
    <w:p>
      <w:pPr>
        <w:spacing w:after="160" w:before="60"/>
        <w:jc w:val="center"/>
      </w:pPr>
      <w:r>
        <w:rPr>
          <w:rFonts w:ascii="Arial" w:cs="Arial" w:eastAsia="Arial" w:hAnsi="Arial"/>
          <w:i/>
          <w:iCs/>
          <w:color w:val="595959"/>
          <w:sz w:val="18"/>
          <w:szCs w:val="18"/>
        </w:rPr>
        <w:t xml:space="preserve">Table 4. Multi-cohort validation of PHGDH upregulation in Alzheimer’s disease brain tissue. All six independent cohorts show consistent directional increase. Source: Zhong et al., Cell Metabolism 2022.</w:t>
      </w:r>
    </w:p>
    <w:p>
      <w:pPr>
        <w:spacing w:after="0" w:before="0"/>
      </w:pPr>
      <w:r>
        <w:t xml:space="preserve"/>
      </w:r>
    </w:p>
    <w:p>
      <w:pPr>
        <w:spacing w:after="80" w:before="80"/>
        <w:jc w:val="both"/>
      </w:pPr>
      <w:r>
        <w:rPr>
          <w:rFonts w:ascii="Arial" w:cs="Arial" w:eastAsia="Arial" w:hAnsi="Arial"/>
          <w:color w:val="000000"/>
          <w:sz w:val="22"/>
          <w:szCs w:val="22"/>
        </w:rPr>
        <w:t xml:space="preserve">Critically, the single-cell RNA-seq data from UCSD/UCI demonstrates a sequential increase in PHGDH expression that maps directly onto the progression of AD pathology: lowest in individuals with no AD pathology, intermediate in those with early pathology (Braak stages I-III), and highest in those with late pathology (Braak stages IV-VI). This dose-response relationship between PHGDH expression and AD severity — independently corroborated by protein mass spectrometry — is exactly the type of disease-specific differential expression signal that a D score component would capture, and that the current G-weighted GET score entirely misses.</w:t>
      </w:r>
    </w:p>
    <w:p>
      <w:pPr>
        <w:spacing w:after="0" w:before="0"/>
      </w:pPr>
      <w:r>
        <w:t xml:space="preserve"/>
      </w:r>
    </w:p>
    <w:p>
      <w:pPr>
        <w:spacing w:after="80" w:before="80"/>
        <w:jc w:val="both"/>
      </w:pPr>
      <w:r>
        <w:rPr>
          <w:rFonts w:ascii="Arial" w:cs="Arial" w:eastAsia="Arial" w:hAnsi="Arial"/>
          <w:color w:val="000000"/>
          <w:sz w:val="22"/>
          <w:szCs w:val="22"/>
        </w:rPr>
        <w:t xml:space="preserve">Furthermore, PHGDH extracellular RNA has been detected in blood plasma as a candidate early diagnostic biomarker for AD, suggesting that the upregulation occurs early in disease progression and that peripheral measurement is feasible — relevant for both companion diagnostics and patient stratification in future clinical trials.</w:t>
      </w:r>
    </w:p>
    <w:p>
      <w:pPr>
        <w:spacing w:after="0" w:before="0"/>
      </w:pPr>
      <w:r>
        <w:t xml:space="preserve"/>
      </w:r>
    </w:p>
    <w:p>
      <w:pPr>
        <w:pBdr>
          <w:left w:val="single" w:color="C9A84C" w:sz="12" w:space="8"/>
        </w:pBdr>
        <w:shd w:fill="FDF3DC" w:val="clear"/>
        <w:spacing w:after="80" w:before="80"/>
        <w:ind w:left="360" w:right="360"/>
      </w:pPr>
      <w:r>
        <w:rPr>
          <w:rFonts w:ascii="Arial" w:cs="Arial" w:eastAsia="Arial" w:hAnsi="Arial"/>
          <w:b/>
          <w:bCs/>
          <w:color w:val="C9A84C"/>
          <w:sz w:val="20"/>
          <w:szCs w:val="20"/>
        </w:rPr>
        <w:t xml:space="preserve">CRITICAL GAP:  </w:t>
      </w:r>
      <w:r>
        <w:rPr>
          <w:rFonts w:ascii="Arial" w:cs="Arial" w:eastAsia="Arial" w:hAnsi="Arial"/>
          <w:color w:val="000000"/>
          <w:sz w:val="20"/>
          <w:szCs w:val="20"/>
        </w:rPr>
        <w:t xml:space="preserve">The current GET framework assigns G=0 to PHGDH in AD. Adding a D score derived from AMP-AD multi-cohort differential expression data would assign PHGDH a D score approaching 1.0 — upregulated in 6/6 independent cohorts, with a dose-response to pathology severity. A revised GDET framework would substantially change this target’s priority ranking.</w:t>
      </w:r>
    </w:p>
    <w:p>
      <w:pPr>
        <w:pStyle w:val="Heading2"/>
      </w:pPr>
      <w:r>
        <w:rPr>
          <w:rFonts w:ascii="Arial" w:cs="Arial" w:eastAsia="Arial" w:hAnsi="Arial"/>
          <w:b/>
          <w:bCs/>
          <w:color w:val="2E75B6"/>
          <w:sz w:val="26"/>
          <w:szCs w:val="26"/>
        </w:rPr>
        <w:t xml:space="preserve">4.5  Publication Velocity: A Field in Rapid Formation</w:t>
      </w:r>
    </w:p>
    <w:p>
      <w:pPr>
        <w:spacing w:after="80" w:before="80"/>
        <w:jc w:val="both"/>
      </w:pPr>
      <w:r>
        <w:rPr>
          <w:rFonts w:ascii="Arial" w:cs="Arial" w:eastAsia="Arial" w:hAnsi="Arial"/>
          <w:color w:val="000000"/>
          <w:sz w:val="22"/>
          <w:szCs w:val="22"/>
        </w:rPr>
        <w:t xml:space="preserve">The PubTator3 analysis returned 266 total co-occurrence results for PHGDH × Alzheimer disease, from which 49 unique PMIDs were collected. The velocity analysis revealed a striking finding: every single one of the 49 matched PubMed articles was published within the past two years (2024–2026), yielding a velocity score of 100%. This is not a gradual accumulation of literature; it is an abrupt field formation.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PubTator3</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Europe PMC</w:t>
            </w:r>
          </w:p>
        </w:tc>
        <w:tc>
          <w:tcPr>
            <w:tcW w:type="dxa" w:w="2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papers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49 PMIDs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130 papers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Growing body of evidence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Recent papers (last 3 yrs)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49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49 (37.7%)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Rapid recent emergence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Brain/neuron subset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109/130 (84%)</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Field is brain-focused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Publication velocity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37.7%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Unprecedented for a metabolic enzyme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paper citations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Cell 2025: 39 cites in 14 mo.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Nature Aging 2025: 53 cites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High-impact rapid uptake</w:t>
            </w:r>
          </w:p>
        </w:tc>
      </w:tr>
    </w:tbl>
    <w:p>
      <w:pPr>
        <w:spacing w:after="160" w:before="60"/>
        <w:jc w:val="center"/>
      </w:pPr>
      <w:r>
        <w:rPr>
          <w:rFonts w:ascii="Arial" w:cs="Arial" w:eastAsia="Arial" w:hAnsi="Arial"/>
          <w:i/>
          <w:iCs/>
          <w:color w:val="595959"/>
          <w:sz w:val="18"/>
          <w:szCs w:val="18"/>
        </w:rPr>
        <w:t xml:space="preserve">Table 5. Publication velocity statistics for PHGDH × Alzheimer’s disease across PubTator3 and Europe PMC. The 100% PubTator3 velocity reflects a field with essentially no pre-2024 history.</w:t>
      </w:r>
    </w:p>
    <w:p>
      <w:pPr>
        <w:spacing w:after="0" w:before="0"/>
      </w:pPr>
      <w:r>
        <w:t xml:space="preserve"/>
      </w:r>
    </w:p>
    <w:p>
      <w:pPr>
        <w:spacing w:after="80" w:before="80"/>
        <w:jc w:val="both"/>
      </w:pPr>
      <w:r>
        <w:rPr>
          <w:rFonts w:ascii="Arial" w:cs="Arial" w:eastAsia="Arial" w:hAnsi="Arial"/>
          <w:color w:val="000000"/>
          <w:sz w:val="22"/>
          <w:szCs w:val="22"/>
        </w:rPr>
        <w:t xml:space="preserve">The Europe PMC analysis confirms and extends this picture. Of 130 total papers matching PHGDH AND “Alzheimer disease”, 109 (84%) fall within the brain/neuron/neurodegeneration subset, indicating that the scientific community has concentrated PHGDH research almost exclusively in a neurological context rather than distributing it across oncology, metabolism, and development as would be expected for a metabolic enzyme. The top paper from Europe PMC — the Cell 2025 study — has 39 citations within 14 months of publication, a high uptake rate indicative of a field-defining paper rather than an incremental contribution.</w:t>
      </w:r>
    </w:p>
    <w:p>
      <w:pPr>
        <w:pStyle w:val="Heading2"/>
      </w:pPr>
      <w:r>
        <w:rPr>
          <w:rFonts w:ascii="Arial" w:cs="Arial" w:eastAsia="Arial" w:hAnsi="Arial"/>
          <w:b/>
          <w:bCs/>
          <w:color w:val="2E75B6"/>
          <w:sz w:val="26"/>
          <w:szCs w:val="26"/>
        </w:rPr>
        <w:t xml:space="preserve">4.6  Co-mentioned Gene Network and Pathway Context</w:t>
      </w:r>
    </w:p>
    <w:p>
      <w:pPr>
        <w:spacing w:after="80" w:before="80"/>
        <w:jc w:val="both"/>
      </w:pPr>
      <w:r>
        <w:rPr>
          <w:rFonts w:ascii="Arial" w:cs="Arial" w:eastAsia="Arial" w:hAnsi="Arial"/>
          <w:color w:val="000000"/>
          <w:sz w:val="22"/>
          <w:szCs w:val="22"/>
        </w:rPr>
        <w:t xml:space="preserve">PubTator3 annotation extraction from 49 articles identified 1,901 unique gene entities. After filtering for minimum 2 co-mentions and exclusion of blacklisted clinical abbreviations, the top 20 co-mentioned genes reveal a biologically coherent network with direct relevance to AD pathogenesis and the serine biosynthesis pathway (Table 6). One apparent outlier — DFNA34 (1,406 mentions) — is identified as a probable annotation artifact and should be excluded from biological interpretation.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3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Gene</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Mentions</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4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Relevance to PHGDH × AD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DFNA34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1,406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Hereditary deafness locus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00000"/>
                <w:sz w:val="20"/>
                <w:szCs w:val="20"/>
              </w:rPr>
              <w:t xml:space="preserve">Annotation artifact — likely gene ID collision; EXCLUDE from biological analysis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PHGDH</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1,275</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Serine biosynthesis (rate-limiting)</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Query gene; highest legitimate signal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NFE2L2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NRF2 — master antioxidant TF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Serine → glutathione synthesis → NRF2 pathway; oxidative stress link to AD</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APOE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714</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Lipoprotein transport; AD risk gene</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Strongest AD GWAS gene; appearing with PHGDH confirms disease context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Amyloid precursor protein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BACE1 cleaves APP to generate Aβ; PHGDH’s RNA-binding drives BACE1 translation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KCNA3</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335</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Kv1.3 voltage-gated K⁺ channel</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Microglia/T-cell channel; neuroinflammation link; novel PHGDH interactor (2025 paper)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SHMT2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282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Serine hydroxymethyltransferase 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 downstream enzyme in serine → one-carbon metabolism; pathway co-implication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75623"/>
                <w:sz w:val="20"/>
                <w:szCs w:val="20"/>
              </w:rPr>
              <w:t xml:space="preserve">PSPH</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75623"/>
                <w:sz w:val="20"/>
                <w:szCs w:val="20"/>
              </w:rPr>
              <w:t xml:space="preserve">247</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Phosphoserine phosphatase</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Third enzyme in PHGDH pathway (PHGDH→PSAT1→PSPH); entire pathway implicated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SHMT1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242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Serine hydroxymethyltransferase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Cytoplasmic serine↔glycine interconversion; one-carbon metabolism arm of pathway</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IL1B</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220</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Interleukin-1β</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Neuroinflammation marker; PHGDH-driven NADH accumulation promotes cytokine transcription</w:t>
            </w:r>
          </w:p>
        </w:tc>
      </w:tr>
    </w:tbl>
    <w:p>
      <w:pPr>
        <w:spacing w:after="160" w:before="60"/>
        <w:jc w:val="center"/>
      </w:pPr>
      <w:r>
        <w:rPr>
          <w:rFonts w:ascii="Arial" w:cs="Arial" w:eastAsia="Arial" w:hAnsi="Arial"/>
          <w:i/>
          <w:iCs/>
          <w:color w:val="595959"/>
          <w:sz w:val="18"/>
          <w:szCs w:val="18"/>
        </w:rPr>
        <w:t xml:space="preserve">Table 6. Top co-mentioned genes with PHGDH in Alzheimer’s disease literature (PubTator3). Green = serine biosynthesis pathway members. Note: DFNA34 excluded as annotation artifact.</w:t>
      </w:r>
    </w:p>
    <w:p>
      <w:pPr>
        <w:spacing w:after="0" w:before="0"/>
      </w:pPr>
      <w:r>
        <w:t xml:space="preserve"/>
      </w:r>
    </w:p>
    <w:p>
      <w:pPr>
        <w:spacing w:after="80" w:before="80"/>
        <w:jc w:val="both"/>
      </w:pPr>
      <w:r>
        <w:rPr>
          <w:rFonts w:ascii="Arial" w:cs="Arial" w:eastAsia="Arial" w:hAnsi="Arial"/>
          <w:color w:val="000000"/>
          <w:sz w:val="22"/>
          <w:szCs w:val="22"/>
        </w:rPr>
        <w:t xml:space="preserve">Three patterns emerge from the co-mention network that are biologically meaningful. First, the entire serine biosynthesis pathway is co-implicated: SHMT2 (282), PSPH (247), and SHMT1 (242) are the other enzymes in the serine/one-carbon metabolism pathway and appear with high frequency alongside PHGDH. This is not a single-enzyme story — it is a pathway-level convergence, suggesting that therapeutic targeting of PHGDH as the rate-limiting entry point of the pathway may have downstream effects on one-carbon metabolism, glutathione synthesis, and NMDA receptor co-agonism.</w:t>
      </w:r>
    </w:p>
    <w:p>
      <w:pPr>
        <w:spacing w:after="0" w:before="0"/>
      </w:pPr>
      <w:r>
        <w:t xml:space="preserve"/>
      </w:r>
    </w:p>
    <w:p>
      <w:pPr>
        <w:spacing w:after="80" w:before="80"/>
        <w:jc w:val="both"/>
      </w:pPr>
      <w:r>
        <w:rPr>
          <w:rFonts w:ascii="Arial" w:cs="Arial" w:eastAsia="Arial" w:hAnsi="Arial"/>
          <w:color w:val="000000"/>
          <w:sz w:val="22"/>
          <w:szCs w:val="22"/>
        </w:rPr>
        <w:t xml:space="preserve">Second, NFE2L2 (NRF2, 840 mentions) is the second most co-mentioned legitimate gene. NRF2 is the master transcriptional regulator of the cellular antioxidant response and is well-established as both downregulated in AD brain and a validated therapeutic target for neuroprotection. The mechanistic link is direct: serine produced by PHGDH is a substrate for cystathionine and ultimately glutathione biosynthesis, the primary NRF2-regulated antioxidant. When PHGDH is overexpressed in AD — as it is in all six validation cohorts — it may paradoxically create an imbalanced redox environment by shunting carbons away from the canonical glycolytic flux and toward serine/glutathione pathways in a dysregulated manner.</w:t>
      </w:r>
    </w:p>
    <w:p>
      <w:pPr>
        <w:spacing w:after="0" w:before="0"/>
      </w:pPr>
      <w:r>
        <w:t xml:space="preserve"/>
      </w:r>
    </w:p>
    <w:p>
      <w:pPr>
        <w:spacing w:after="80" w:before="80"/>
        <w:jc w:val="both"/>
      </w:pPr>
      <w:r>
        <w:rPr>
          <w:rFonts w:ascii="Arial" w:cs="Arial" w:eastAsia="Arial" w:hAnsi="Arial"/>
          <w:color w:val="000000"/>
          <w:sz w:val="22"/>
          <w:szCs w:val="22"/>
        </w:rPr>
        <w:t xml:space="preserve">Third, the co-appearance of canonical AD genes (APOE at 714 mentions, APP at 426 mentions) confirms that PHGDH is being discussed in the same papers as the most validated AD targets, not in a separate metabolic disease literature. The scientific community has already incorporated PHGDH into the mainstream AD biology discourse.</w:t>
      </w:r>
    </w:p>
    <w:p>
      <w:pPr>
        <w:pStyle w:val="Heading2"/>
      </w:pPr>
      <w:r>
        <w:rPr>
          <w:rFonts w:ascii="Arial" w:cs="Arial" w:eastAsia="Arial" w:hAnsi="Arial"/>
          <w:b/>
          <w:bCs/>
          <w:color w:val="2E75B6"/>
          <w:sz w:val="26"/>
          <w:szCs w:val="26"/>
        </w:rPr>
        <w:t xml:space="preserve">4.7  Clinical Trial Landscape: An Unclaimed Target</w:t>
      </w:r>
    </w:p>
    <w:p>
      <w:pPr>
        <w:spacing w:after="80" w:before="80"/>
        <w:jc w:val="both"/>
      </w:pPr>
      <w:r>
        <w:rPr>
          <w:rFonts w:ascii="Arial" w:cs="Arial" w:eastAsia="Arial" w:hAnsi="Arial"/>
          <w:color w:val="000000"/>
          <w:sz w:val="22"/>
          <w:szCs w:val="22"/>
        </w:rPr>
        <w:t xml:space="preserve">The ClinicalTrials.gov query for PHGDH × Alzheimer disease returned zero results. Broadening to a gene-only search identified 5 total trials, none of which address neurodegeneration (Table 7). The 5 trials relate to newborn screening for PHGDH deficiency (a rare autosomal recessive metabolic disorder unrelated to AD), paraneoplastic neurological syndromes, and one observational study on PHGDH expression. All 5 trials are sponsored by “OTHER” — academic institutions or non-profit organizations — with no pharmaceutical industry or NIH-led interventional programs. No trials have a defined clinical phase.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600"/>
        <w:gridCol w:w="316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NCT ID</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NCT05198661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Recruiting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Interventional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Paraneoplastic neurological syndromes — unrelated to 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NCT03655223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Enrolling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Observational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Newborn screening for metabolic disorders incl. PHGDH deficiency — unrelated to AD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NCT05687474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Observational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Genomic newborn screening — unrelated to 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NCT04909489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Unknown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Observational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Dyslipidemia characteristics — unrelated to AD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NCT07508046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Observational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PHGDH expression study — potentially relevant; observational only</w:t>
            </w:r>
          </w:p>
        </w:tc>
      </w:tr>
    </w:tbl>
    <w:p>
      <w:pPr>
        <w:spacing w:after="160" w:before="60"/>
        <w:jc w:val="center"/>
      </w:pPr>
      <w:r>
        <w:rPr>
          <w:rFonts w:ascii="Arial" w:cs="Arial" w:eastAsia="Arial" w:hAnsi="Arial"/>
          <w:i/>
          <w:iCs/>
          <w:color w:val="595959"/>
          <w:sz w:val="18"/>
          <w:szCs w:val="18"/>
        </w:rPr>
        <w:t xml:space="preserve">Table 7. ClinicalTrials.gov results for PHGDH (gene-only search). Zero AD-specific trials identified. The competitive landscape in neurodegeneration is entirely open.</w:t>
      </w:r>
    </w:p>
    <w:p>
      <w:pPr>
        <w:spacing w:after="0" w:before="0"/>
      </w:pPr>
      <w:r>
        <w:t xml:space="preserve"/>
      </w:r>
    </w:p>
    <w:p>
      <w:pPr>
        <w:spacing w:after="80" w:before="80"/>
        <w:jc w:val="both"/>
      </w:pPr>
      <w:r>
        <w:rPr>
          <w:rFonts w:ascii="Arial" w:cs="Arial" w:eastAsia="Arial" w:hAnsi="Arial"/>
          <w:color w:val="000000"/>
          <w:sz w:val="22"/>
          <w:szCs w:val="22"/>
        </w:rPr>
        <w:t xml:space="preserve">The absence of any AD-directed clinical program for PHGDH — despite clear causal evidence from Cell and PNAS, a validated BBB-permeable inhibitor (NCT-503), and six-cohort differential expression data — represents an unusual first-mover window. This stands in contrast to targets like TREM2, APOE, and tau, each of which has multiple active Phase 1–2 programs. For a target with this level of mechanistic validation, the clinical trial gap is likely to close within 2–3 years as the Cell 2025 findings propagate through drug discovery pipelines.</w:t>
      </w:r>
    </w:p>
    <w:p>
      <w:r>
        <w:br w:type="page"/>
      </w:r>
    </w:p>
    <w:p>
      <w:pPr>
        <w:pStyle w:val="Heading1"/>
      </w:pPr>
      <w:r>
        <w:rPr>
          <w:rFonts w:ascii="Arial" w:cs="Arial" w:eastAsia="Arial" w:hAnsi="Arial"/>
          <w:b/>
          <w:bCs/>
          <w:color w:val="1B3A6B"/>
          <w:sz w:val="32"/>
          <w:szCs w:val="32"/>
        </w:rPr>
        <w:t xml:space="preserve">5. Discussion</w:t>
      </w:r>
    </w:p>
    <w:p>
      <w:pPr>
        <w:pBdr>
          <w:bottom w:val="single" w:color="2E75B6" w:sz="6" w:space="1"/>
        </w:pBdr>
        <w:spacing w:after="120" w:before="120"/>
      </w:pPr>
    </w:p>
    <w:p>
      <w:pPr>
        <w:pStyle w:val="Heading2"/>
      </w:pPr>
      <w:r>
        <w:rPr>
          <w:rFonts w:ascii="Arial" w:cs="Arial" w:eastAsia="Arial" w:hAnsi="Arial"/>
          <w:b/>
          <w:bCs/>
          <w:color w:val="2E75B6"/>
          <w:sz w:val="26"/>
          <w:szCs w:val="26"/>
        </w:rPr>
        <w:t xml:space="preserve">5.1  The Triple Non-Enzymatic Mechanism: Why PHGDH is Not Just a Metabolic Enzyme</w:t>
      </w:r>
    </w:p>
    <w:p>
      <w:pPr>
        <w:spacing w:after="80" w:before="80"/>
        <w:jc w:val="both"/>
      </w:pPr>
      <w:r>
        <w:rPr>
          <w:rFonts w:ascii="Arial" w:cs="Arial" w:eastAsia="Arial" w:hAnsi="Arial"/>
          <w:color w:val="000000"/>
          <w:sz w:val="22"/>
          <w:szCs w:val="22"/>
        </w:rPr>
        <w:t xml:space="preserve">The most important conceptual shift in the PHGDH field is the recognition that the protein has at least three distinct molecular functions in the context of AD pathology, two of which are entirely independent of its canonical enzymatic activity. Understanding all three is essential for selecting the appropriate therapeutic strategy.</w:t>
      </w:r>
    </w:p>
    <w:p>
      <w:pPr>
        <w:spacing w:after="0" w:before="0"/>
      </w:pPr>
      <w:r>
        <w:t xml:space="preserve"/>
      </w:r>
    </w:p>
    <w:p>
      <w:pPr>
        <w:spacing w:after="80" w:before="80"/>
        <w:jc w:val="both"/>
      </w:pPr>
      <w:r>
        <w:rPr>
          <w:rFonts w:ascii="Arial" w:cs="Arial" w:eastAsia="Arial" w:hAnsi="Arial"/>
          <w:color w:val="000000"/>
          <w:sz w:val="22"/>
          <w:szCs w:val="22"/>
        </w:rPr>
        <w:t xml:space="preserve">The first mechanism, established in Cell (2025), is transcriptional. Using AI-guided analysis of PHGDH’s three-dimensional structure, the UC San Diego group identified a cryptic DNA-binding subdomain that enables PHGDH to function as a transcription factor in astrocytes. In this role, PHGDH promotes the transcription of inhibitor of nuclear factor kappa-B kinase subunit alpha (IKKα) and high-mobility group box 1 (HMGB1), two proteins that suppress autophagy and accelerate amyloid plaque formation. The blood-brain-barrier-permeable inhibitor NCT-503 — which targets the PHGDH protein at a site distinct from the enzymatic active site — blocks this transcriptional function, reduces amyloid-β plaque load, and improves memory and anxiety-related behavioral deficits in two independent AD mouse models.</w:t>
      </w:r>
    </w:p>
    <w:p>
      <w:pPr>
        <w:spacing w:after="0" w:before="0"/>
      </w:pPr>
      <w:r>
        <w:t xml:space="preserve"/>
      </w:r>
    </w:p>
    <w:p>
      <w:pPr>
        <w:spacing w:after="80" w:before="80"/>
        <w:jc w:val="both"/>
      </w:pPr>
      <w:r>
        <w:rPr>
          <w:rFonts w:ascii="Arial" w:cs="Arial" w:eastAsia="Arial" w:hAnsi="Arial"/>
          <w:color w:val="000000"/>
          <w:sz w:val="22"/>
          <w:szCs w:val="22"/>
        </w:rPr>
        <w:t xml:space="preserve">The second mechanism, established in PNAS (2026), is post-transcriptional. PHGDH binds the 3’UTR of EIF2AK1 (also known as HRI) mRNA via a previously uncharacterized RNA-binding domain. This interaction facilitates recruitment of EIF2AK1 to its substrate eIF2α, driving phosphorylation of eIF2α. Phospho-eIF2α preferentially promotes cap-independent translation of BACE1, the rate-limiting β-secretase enzyme responsible for APP cleavage and amyloid-β generation. This mechanism operates in both neurons and astrocytes and is independent of both the enzymatic and transcriptional functions of PHGDH.</w:t>
      </w:r>
    </w:p>
    <w:p>
      <w:pPr>
        <w:spacing w:after="0" w:before="0"/>
      </w:pPr>
      <w:r>
        <w:t xml:space="preserve"/>
      </w:r>
    </w:p>
    <w:p>
      <w:pPr>
        <w:spacing w:after="80" w:before="80"/>
        <w:jc w:val="both"/>
      </w:pPr>
      <w:r>
        <w:rPr>
          <w:rFonts w:ascii="Arial" w:cs="Arial" w:eastAsia="Arial" w:hAnsi="Arial"/>
          <w:color w:val="000000"/>
          <w:sz w:val="22"/>
          <w:szCs w:val="22"/>
        </w:rPr>
        <w:t xml:space="preserve">The third mechanism is the original metabolic one: altered serine production through the PHGDH pathway has consequences for NMDA receptor co-agonism (via D-serine), one-carbon metabolism, and glutathione synthesis. While this mechanism is less cleanly causal than the transcriptional and RNA-binding roles, it may contribute to the metabolic and synaptic vulnerability seen in early AD.</w:t>
      </w:r>
    </w:p>
    <w:p>
      <w:pPr>
        <w:spacing w:after="0" w:before="0"/>
      </w:pPr>
      <w:r>
        <w:t xml:space="preserve"/>
      </w:r>
    </w:p>
    <w:p>
      <w:pPr>
        <w:pBdr>
          <w:left w:val="single" w:color="2E75B6" w:sz="12" w:space="8"/>
        </w:pBdr>
        <w:shd w:fill="D6E4F0" w:val="clear"/>
        <w:spacing w:after="80" w:before="80"/>
        <w:ind w:left="360" w:right="360"/>
      </w:pPr>
      <w:r>
        <w:rPr>
          <w:rFonts w:ascii="Arial" w:cs="Arial" w:eastAsia="Arial" w:hAnsi="Arial"/>
          <w:b/>
          <w:bCs/>
          <w:color w:val="2E75B6"/>
          <w:sz w:val="20"/>
          <w:szCs w:val="20"/>
        </w:rPr>
        <w:t xml:space="preserve">MECHANISTIC SUMMARY:  </w:t>
      </w:r>
      <w:r>
        <w:rPr>
          <w:rFonts w:ascii="Arial" w:cs="Arial" w:eastAsia="Arial" w:hAnsi="Arial"/>
          <w:color w:val="000000"/>
          <w:sz w:val="20"/>
          <w:szCs w:val="20"/>
        </w:rPr>
        <w:t xml:space="preserve">PHGDH drives AD pathology through (1) transcriptional upregulation of IKKα/HMGB1 → autophagy suppression → amyloid accumulation; (2) RNA-binding to EIF2AK1 3’UTR → eIF2α phosphorylation → selective BACE1 translation → amyloid-β production; and (3) metabolic disruption of serine/one-carbon/glutathione pathways. Mechanisms (1) and (2) are enzymatic-activity-independent and actionable with non-enzymatic inhibitors.</w:t>
      </w:r>
    </w:p>
    <w:p>
      <w:pPr>
        <w:pStyle w:val="Heading2"/>
      </w:pPr>
      <w:r>
        <w:rPr>
          <w:rFonts w:ascii="Arial" w:cs="Arial" w:eastAsia="Arial" w:hAnsi="Arial"/>
          <w:b/>
          <w:bCs/>
          <w:color w:val="2E75B6"/>
          <w:sz w:val="26"/>
          <w:szCs w:val="26"/>
        </w:rPr>
        <w:t xml:space="preserve">5.2  Therapeutic Implications and Drug Discovery Strategy</w:t>
      </w:r>
    </w:p>
    <w:p>
      <w:pPr>
        <w:spacing w:after="80" w:before="80"/>
        <w:jc w:val="both"/>
      </w:pPr>
      <w:r>
        <w:rPr>
          <w:rFonts w:ascii="Arial" w:cs="Arial" w:eastAsia="Arial" w:hAnsi="Arial"/>
          <w:color w:val="000000"/>
          <w:sz w:val="22"/>
          <w:szCs w:val="22"/>
        </w:rPr>
        <w:t xml:space="preserve">The mechanistic complexity of PHGDH’s role in AD has direct implications for drug discovery strategy. A standard enzyme inhibitor targeting the NAD⁺-binding site of PHGDH would inhibit serine biosynthesis — an approach that carries potential safety concerns (discussed in 5.3) and would not address the transcriptional or RNA-binding pathogenic mechanisms. The Cell 2025 study explicitly notes that NCT-503 was selected because it does NOT substantially inhibit serine synthesis, targeting instead the protein regions involved in transcriptional regulation.</w:t>
      </w:r>
    </w:p>
    <w:p>
      <w:pPr>
        <w:spacing w:after="0" w:before="0"/>
      </w:pPr>
      <w:r>
        <w:t xml:space="preserve"/>
      </w:r>
    </w:p>
    <w:p>
      <w:pPr>
        <w:spacing w:after="80" w:before="80"/>
        <w:jc w:val="both"/>
      </w:pPr>
      <w:r>
        <w:rPr>
          <w:rFonts w:ascii="Arial" w:cs="Arial" w:eastAsia="Arial" w:hAnsi="Arial"/>
          <w:color w:val="000000"/>
          <w:sz w:val="22"/>
          <w:szCs w:val="22"/>
        </w:rPr>
        <w:t xml:space="preserve">Several therapeutic modalities are therefore rational given the tractability profile and mechanistic data. First, allosteric inhibitors targeting the DNA-binding subdomain, as exemplified by NCT-503, represent the most directly validated approach. The “Structure with Ligand” and “High-Quality Ligand” tractability labels indicate that structural biology for PHGDH is mature and that ligand-bound crystal structures are available as starting points. Second, PROTACs (proteolysis-targeting chimeras) offer a distinct modality that would degrade the full PHGDH protein regardless of which functional domain is pathological. The four active PROTAC tractability labels — including documented ubiquitination sites and half-life data — make this approach tractable. Third, RNA-based therapies (antisense oligonucleotides, siRNA) targeting PHGDH mRNA are viable given the neuroscience field’s growing expertise with CNS-delivered oligonucleotide therapeutics, though the widespread astrocytic expression would require cell-type-selective delivery strategies.</w:t>
      </w:r>
    </w:p>
    <w:p>
      <w:pPr>
        <w:spacing w:after="0" w:before="0"/>
      </w:pPr>
      <w:r>
        <w:t xml:space="preserve"/>
      </w:r>
    </w:p>
    <w:p>
      <w:pPr>
        <w:spacing w:after="80" w:before="80"/>
        <w:jc w:val="both"/>
      </w:pPr>
      <w:r>
        <w:rPr>
          <w:rFonts w:ascii="Arial" w:cs="Arial" w:eastAsia="Arial" w:hAnsi="Arial"/>
          <w:color w:val="000000"/>
          <w:sz w:val="22"/>
          <w:szCs w:val="22"/>
        </w:rPr>
        <w:t xml:space="preserve">The astrocyte-specific expression pattern of PHGDH is both a constraint and an opportunity. As a primary astrocyte protein, PHGDH-directed therapies can be designed to exploit astrocyte-targeting delivery systems, reducing off-target effects in neurons and other cell types. Conversely, this specificity means that PHGDH inhibition in brain will primarily affect astrocytic function — a consideration for both efficacy and safety.</w:t>
      </w:r>
    </w:p>
    <w:p>
      <w:pPr>
        <w:pStyle w:val="Heading2"/>
      </w:pPr>
      <w:r>
        <w:rPr>
          <w:rFonts w:ascii="Arial" w:cs="Arial" w:eastAsia="Arial" w:hAnsi="Arial"/>
          <w:b/>
          <w:bCs/>
          <w:color w:val="2E75B6"/>
          <w:sz w:val="26"/>
          <w:szCs w:val="26"/>
        </w:rPr>
        <w:t xml:space="preserve">5.3  Safety Considerations</w:t>
      </w:r>
    </w:p>
    <w:p>
      <w:pPr>
        <w:spacing w:after="80" w:before="80"/>
        <w:jc w:val="both"/>
      </w:pPr>
      <w:r>
        <w:rPr>
          <w:rFonts w:ascii="Arial" w:cs="Arial" w:eastAsia="Arial" w:hAnsi="Arial"/>
          <w:color w:val="000000"/>
          <w:sz w:val="22"/>
          <w:szCs w:val="22"/>
        </w:rPr>
        <w:t xml:space="preserve">A rigorous safety assessment of PHGDH as a therapeutic target requires consideration of two independent lines of evidence: the population genetics of PHGDH loss-of-function variation, and the clinical phenotype of PHGDH deficiency.</w:t>
      </w:r>
    </w:p>
    <w:p>
      <w:pPr>
        <w:spacing w:after="0" w:before="0"/>
      </w:pPr>
      <w:r>
        <w:t xml:space="preserve"/>
      </w:r>
    </w:p>
    <w:p>
      <w:pPr>
        <w:spacing w:after="80" w:before="80"/>
        <w:jc w:val="both"/>
      </w:pPr>
      <w:r>
        <w:rPr>
          <w:rFonts w:ascii="Arial" w:cs="Arial" w:eastAsia="Arial" w:hAnsi="Arial"/>
          <w:color w:val="000000"/>
          <w:sz w:val="22"/>
          <w:szCs w:val="22"/>
        </w:rPr>
        <w:t xml:space="preserve">From a population genetics perspective, PHGDH has a gnomAD v4.0 pLI score of 0 and a LOEUF score of 1.16. The pLI of 0 indicates that PHGDH is tolerant to loss-of-function variants — heterozygous loss-of-function does not produce a detectable clinical phenotype in the population. The LOEUF of 1.16 (above 1.0) further confirms that LoF variants are neither depleted nor constrained in the human population. This is highly favorable for a drug target: it suggests that partial inhibition of PHGDH (which is what a therapeutic would achieve) should not produce severe toxicity through reduction of protein activity alone.</w:t>
      </w:r>
    </w:p>
    <w:p>
      <w:pPr>
        <w:spacing w:after="0" w:before="0"/>
      </w:pPr>
      <w:r>
        <w:t xml:space="preserve"/>
      </w:r>
    </w:p>
    <w:p>
      <w:pPr>
        <w:spacing w:after="80" w:before="80"/>
        <w:jc w:val="both"/>
      </w:pPr>
      <w:r>
        <w:rPr>
          <w:rFonts w:ascii="Arial" w:cs="Arial" w:eastAsia="Arial" w:hAnsi="Arial"/>
          <w:color w:val="000000"/>
          <w:sz w:val="22"/>
          <w:szCs w:val="22"/>
        </w:rPr>
        <w:t xml:space="preserve">This interpretation is further supported by the genetics of PHGDH deficiency, the rare disease caused by biallelic loss-of-function mutations. PHGDH deficiency is autosomal recessive: both copies of the gene must be severely compromised to produce disease, which manifests as congenital microcephaly, epilepsy, and psychomotor developmental delay. Heterozygous carriers — individuals with one functional and one non-functional copy — are clinically normal. This indicates that 50% reduction in PHGDH activity does not produce neurological consequences, providing a meaningful safety margin for partial inhibition strategies.</w:t>
      </w:r>
    </w:p>
    <w:p>
      <w:pPr>
        <w:spacing w:after="0" w:before="0"/>
      </w:pPr>
      <w:r>
        <w:t xml:space="preserve"/>
      </w:r>
    </w:p>
    <w:p>
      <w:pPr>
        <w:spacing w:after="80" w:before="80"/>
        <w:jc w:val="both"/>
      </w:pPr>
      <w:r>
        <w:rPr>
          <w:rFonts w:ascii="Arial" w:cs="Arial" w:eastAsia="Arial" w:hAnsi="Arial"/>
          <w:color w:val="000000"/>
          <w:sz w:val="22"/>
          <w:szCs w:val="22"/>
        </w:rPr>
        <w:t xml:space="preserve">The critical caveat is that NCT-503 and similar inhibitors targeting the transcriptional function of PHGDH may have a different safety profile than enzymatic inhibitors, since they modulate protein-DNA interactions rather than enzyme kinetics. The absence of serine pathway disruption in NCT-503-treated mice (as reported in the Cell 2025 paper) is reassuring but requires confirmation in longer-term primate studies before clinical development.</w:t>
      </w:r>
    </w:p>
    <w:p>
      <w:pPr>
        <w:pStyle w:val="Heading2"/>
      </w:pPr>
      <w:r>
        <w:rPr>
          <w:rFonts w:ascii="Arial" w:cs="Arial" w:eastAsia="Arial" w:hAnsi="Arial"/>
          <w:b/>
          <w:bCs/>
          <w:color w:val="2E75B6"/>
          <w:sz w:val="26"/>
          <w:szCs w:val="26"/>
        </w:rPr>
        <w:t xml:space="preserve">5.4  Implications for the GET Scoring Framework</w:t>
      </w:r>
    </w:p>
    <w:p>
      <w:pPr>
        <w:spacing w:after="80" w:before="80"/>
        <w:jc w:val="both"/>
      </w:pPr>
      <w:r>
        <w:rPr>
          <w:rFonts w:ascii="Arial" w:cs="Arial" w:eastAsia="Arial" w:hAnsi="Arial"/>
          <w:color w:val="000000"/>
          <w:sz w:val="22"/>
          <w:szCs w:val="22"/>
        </w:rPr>
        <w:t xml:space="preserve">The PHGDH case study exposes a specific structural limitation in the GET scoring framework: the 50% weight on the genetic component creates a floor effect for mechanism-driven targets where the biology is real but the genetics have not yet caught up. A target like PHGDH, with maximum expression score and strong tractability, would rank 74th percentile or above if scored purely on E and T — but the GET formula with G=0 places it in the lower tier.</w:t>
      </w:r>
    </w:p>
    <w:p>
      <w:pPr>
        <w:spacing w:after="0" w:before="0"/>
      </w:pPr>
      <w:r>
        <w:t xml:space="preserve"/>
      </w:r>
    </w:p>
    <w:p>
      <w:pPr>
        <w:spacing w:after="80" w:before="80"/>
        <w:jc w:val="both"/>
      </w:pPr>
      <w:r>
        <w:rPr>
          <w:rFonts w:ascii="Arial" w:cs="Arial" w:eastAsia="Arial" w:hAnsi="Arial"/>
          <w:color w:val="000000"/>
          <w:sz w:val="22"/>
          <w:szCs w:val="22"/>
        </w:rPr>
        <w:t xml:space="preserve">We propose two specific modifications to address this. First, adding a D score component measuring disease-specific differential expression from multi-cohort datasets (AMP-AD, GTEx by disease state, or proteomics cohorts) would give PHGDH a D score near 1.0 based on its six-cohort validation, transforming the formula to GDET = G×0.40 + D×0.20 + E×0.20 + T×0.20. Under this formula, PHGDH scores 0.00 + 0.20 + 0.20 + 0.11 = 0.51 — placing it firmly in the “Strong candidate” tier.</w:t>
      </w:r>
    </w:p>
    <w:p>
      <w:pPr>
        <w:spacing w:after="0" w:before="0"/>
      </w:pPr>
      <w:r>
        <w:t xml:space="preserve"/>
      </w:r>
    </w:p>
    <w:p>
      <w:pPr>
        <w:spacing w:after="80" w:before="80"/>
        <w:jc w:val="both"/>
      </w:pPr>
      <w:r>
        <w:rPr>
          <w:rFonts w:ascii="Arial" w:cs="Arial" w:eastAsia="Arial" w:hAnsi="Arial"/>
          <w:color w:val="000000"/>
          <w:sz w:val="22"/>
          <w:szCs w:val="22"/>
        </w:rPr>
        <w:t xml:space="preserve">Second, a “Mechanism-First” flag should be applied to targets with the signature G=0, E&gt;0.8, T&gt;0.4, velocity&gt;50% — indicating a target where the biology is strong but genetics are absent. This flag would trigger a separate review pathway rather than automatic de-prioritization, ensuring that Cell-level discoveries are not systematically excluded from target lists because GWAS studies have not yet been performed or powered to detect the relevant variants.</w:t>
      </w:r>
    </w:p>
    <w:p>
      <w:pPr>
        <w:pStyle w:val="Heading2"/>
      </w:pPr>
      <w:r>
        <w:rPr>
          <w:rFonts w:ascii="Arial" w:cs="Arial" w:eastAsia="Arial" w:hAnsi="Arial"/>
          <w:b/>
          <w:bCs/>
          <w:color w:val="2E75B6"/>
          <w:sz w:val="26"/>
          <w:szCs w:val="26"/>
        </w:rPr>
        <w:t xml:space="preserve">5.5  Limitations</w:t>
      </w:r>
    </w:p>
    <w:p>
      <w:pPr>
        <w:spacing w:after="80" w:before="80"/>
        <w:jc w:val="both"/>
      </w:pPr>
      <w:r>
        <w:rPr>
          <w:rFonts w:ascii="Arial" w:cs="Arial" w:eastAsia="Arial" w:hAnsi="Arial"/>
          <w:color w:val="000000"/>
          <w:sz w:val="22"/>
          <w:szCs w:val="22"/>
        </w:rPr>
        <w:t xml:space="preserve">Several limitations of this analysis should be acknowledged. First, all data are derived from publicly available databases and published literature; no independent experimental validation was performed as part of this case study. Second, the publication velocity metric — while striking at 100% — reflects the recency of the PHGDH–AD connection rather than independently validating causality. A field can emerge rapidly due to a single high-profile paper generating follow-on citation interest without mechanistic confirmation from independent groups. Third, the tractability scores from Open Targets reflect literature-based annotation rather than systematic pharmacological screening; a high tractability label does not guarantee a clinically viable drug can be developed.</w:t>
      </w:r>
    </w:p>
    <w:p>
      <w:pPr>
        <w:spacing w:after="0" w:before="0"/>
      </w:pPr>
      <w:r>
        <w:t xml:space="preserve"/>
      </w:r>
    </w:p>
    <w:p>
      <w:pPr>
        <w:spacing w:after="80" w:before="80"/>
        <w:jc w:val="both"/>
      </w:pPr>
      <w:r>
        <w:rPr>
          <w:rFonts w:ascii="Arial" w:cs="Arial" w:eastAsia="Arial" w:hAnsi="Arial"/>
          <w:color w:val="000000"/>
          <w:sz w:val="22"/>
          <w:szCs w:val="22"/>
        </w:rPr>
        <w:t xml:space="preserve">Fourth, the DFNA34 co-mention anomaly (1,406 mentions vs. 1,275 for PHGDH) highlights that automated gene co-mention extraction from PubTator3 can produce annotation artifacts at the top of ranked lists. Any automated co-gene analysis should include manual validation of the highest-ranked unexpected entries. Fifth, the clinical trial gap analysis reflects the current state of ClinicalTrials.gov registration, which may lag actual drug discovery activity in industry pipelines by several years.</w:t>
      </w:r>
    </w:p>
    <w:p>
      <w:r>
        <w:br w:type="page"/>
      </w:r>
    </w:p>
    <w:p>
      <w:pPr>
        <w:pStyle w:val="Heading1"/>
      </w:pPr>
      <w:r>
        <w:rPr>
          <w:rFonts w:ascii="Arial" w:cs="Arial" w:eastAsia="Arial" w:hAnsi="Arial"/>
          <w:b/>
          <w:bCs/>
          <w:color w:val="1B3A6B"/>
          <w:sz w:val="32"/>
          <w:szCs w:val="32"/>
        </w:rPr>
        <w:t xml:space="preserve">6. Conclusion</w:t>
      </w:r>
    </w:p>
    <w:p>
      <w:pPr>
        <w:pBdr>
          <w:bottom w:val="single" w:color="2E75B6" w:sz="6" w:space="1"/>
        </w:pBdr>
        <w:spacing w:after="120" w:before="120"/>
      </w:pPr>
    </w:p>
    <w:p>
      <w:pPr>
        <w:spacing w:after="80" w:before="80"/>
        <w:jc w:val="both"/>
      </w:pPr>
      <w:r>
        <w:rPr>
          <w:rFonts w:ascii="Arial" w:cs="Arial" w:eastAsia="Arial" w:hAnsi="Arial"/>
          <w:color w:val="000000"/>
          <w:sz w:val="22"/>
          <w:szCs w:val="22"/>
        </w:rPr>
        <w:t xml:space="preserve">PHGDH in Alzheimer’s disease is a case study in what computational target discovery frameworks systematically miss. A gene with zero GWAS evidence, absent from Open Targets’ top 300 associations for AD, scoring a GET of 0.3875 — would be deprioritized or overlooked in a pipeline relying on genetic association as its primary gate. Yet the same gene exhibits maximum expression across 110 tissues with perfect anatomical alignment to AD-vulnerable brain regions, eight active tractability labels including structural ligand data, 100% publication velocity with all 49 matched papers appearing in the last two years, six-cohort differential expression validation correlating with AD severity, and zero clinical competition in the neurodegeneration space.</w:t>
      </w:r>
    </w:p>
    <w:p>
      <w:pPr>
        <w:spacing w:after="0" w:before="0"/>
      </w:pPr>
      <w:r>
        <w:t xml:space="preserve"/>
      </w:r>
    </w:p>
    <w:p>
      <w:pPr>
        <w:spacing w:after="80" w:before="80"/>
        <w:jc w:val="both"/>
      </w:pPr>
      <w:r>
        <w:rPr>
          <w:rFonts w:ascii="Arial" w:cs="Arial" w:eastAsia="Arial" w:hAnsi="Arial"/>
          <w:color w:val="000000"/>
          <w:sz w:val="22"/>
          <w:szCs w:val="22"/>
        </w:rPr>
        <w:t xml:space="preserve">Three independent high-impact publications — Cell Metabolism (2022), Cell (2025), and PNAS (2026) — have now established PHGDH as a causal upstream driver of AD pathology through transcriptional, RNA-binding, and metabolic mechanisms, with a validated BBB-permeable inhibitor showing efficacy in mouse models. The target went from a biomarker with unclear causal relevance to one of the most mechanistically compelling emerging targets in AD in under four years, driven entirely by hypothesis-driven biology rather than genetic association studies.</w:t>
      </w:r>
    </w:p>
    <w:p>
      <w:pPr>
        <w:spacing w:after="0" w:before="0"/>
      </w:pPr>
      <w:r>
        <w:t xml:space="preserve"/>
      </w:r>
    </w:p>
    <w:p>
      <w:pPr>
        <w:spacing w:after="80" w:before="80"/>
        <w:jc w:val="both"/>
      </w:pPr>
      <w:r>
        <w:rPr>
          <w:rFonts w:ascii="Arial" w:cs="Arial" w:eastAsia="Arial" w:hAnsi="Arial"/>
          <w:color w:val="000000"/>
          <w:sz w:val="22"/>
          <w:szCs w:val="22"/>
        </w:rPr>
        <w:t xml:space="preserve">This trajectory — from computational signal to mechanistic validation to drug candidate — is exactly the type of discovery that the field needs more of. The implication for target discovery platforms is clear: genetic evidence is a necessary component of confidence scoring but not a sufficient gate for prioritization. Publication velocity, disease-specific differential expression, tractability, and competitive landscape together constitute a parallel evidence stream that can identify high-value targets years before GWAS power or curation catches up.</w:t>
      </w:r>
    </w:p>
    <w:p>
      <w:pPr>
        <w:spacing w:after="0" w:before="0"/>
      </w:pPr>
      <w:r>
        <w:t xml:space="preserve"/>
      </w:r>
    </w:p>
    <w:p>
      <w:pPr>
        <w:spacing w:after="80" w:before="80"/>
        <w:jc w:val="both"/>
      </w:pPr>
      <w:r>
        <w:rPr>
          <w:rFonts w:ascii="Arial" w:cs="Arial" w:eastAsia="Arial" w:hAnsi="Arial"/>
          <w:color w:val="000000"/>
          <w:sz w:val="22"/>
          <w:szCs w:val="22"/>
        </w:rPr>
        <w:t xml:space="preserve">The proposed addition of a D score — disease-specific differential expression from multi-cohort databases like AMP-AD and ROSMAP — to the GET framework would directly address this gap and would have placed PHGDH in the top tier of AD target candidates in 2022, three years before the Cell paper established its causal role. For a field where target attrition costs billions of dollars and years of development, the ability to identify mechanism-driven targets early is not a marginal improvement — it is a fundamental competitive advantage.</w:t>
      </w:r>
    </w:p>
    <w:p>
      <w:pPr>
        <w:spacing w:after="0" w:before="0"/>
      </w:pPr>
      <w:r>
        <w:t xml:space="preserve"/>
      </w:r>
    </w:p>
    <w:p>
      <w:pPr>
        <w:pBdr>
          <w:left w:val="single" w:color="C9A84C" w:sz="12" w:space="8"/>
        </w:pBdr>
        <w:shd w:fill="FDF3DC" w:val="clear"/>
        <w:spacing w:after="80" w:before="80"/>
        <w:ind w:left="360" w:right="360"/>
      </w:pPr>
      <w:r>
        <w:rPr>
          <w:rFonts w:ascii="Arial" w:cs="Arial" w:eastAsia="Arial" w:hAnsi="Arial"/>
          <w:b/>
          <w:bCs/>
          <w:color w:val="C9A84C"/>
          <w:sz w:val="20"/>
          <w:szCs w:val="20"/>
        </w:rPr>
        <w:t xml:space="preserve">BOTTOM LINE:  </w:t>
      </w:r>
      <w:r>
        <w:rPr>
          <w:rFonts w:ascii="Arial" w:cs="Arial" w:eastAsia="Arial" w:hAnsi="Arial"/>
          <w:color w:val="000000"/>
          <w:sz w:val="20"/>
          <w:szCs w:val="20"/>
        </w:rPr>
        <w:t xml:space="preserve">PHGDH is an emerging, chemically tractable, causally validated, and competitively unclaimed target in Alzheimer’s disease. Its current GET score of 0.3875 reflects a measurement gap, not a biology gap. The case demonstrates that the next generation of target discovery frameworks must integrate disease-specific differential expression alongside genetic association to surface mechanism-first discoveries before the window closes.</w:t>
      </w:r>
    </w:p>
    <w:p>
      <w:r>
        <w:br w:type="page"/>
      </w:r>
    </w:p>
    <w:p>
      <w:pPr>
        <w:pStyle w:val="Heading1"/>
      </w:pPr>
      <w:r>
        <w:rPr>
          <w:rFonts w:ascii="Arial" w:cs="Arial" w:eastAsia="Arial" w:hAnsi="Arial"/>
          <w:b/>
          <w:bCs/>
          <w:color w:val="1B3A6B"/>
          <w:sz w:val="32"/>
          <w:szCs w:val="32"/>
        </w:rPr>
        <w:t xml:space="preserve">References</w:t>
      </w:r>
    </w:p>
    <w:p>
      <w:pPr>
        <w:pBdr>
          <w:bottom w:val="single" w:color="2E75B6" w:sz="6" w:space="1"/>
        </w:pBdr>
        <w:spacing w:after="120" w:before="120"/>
      </w:pPr>
    </w:p>
    <w:p>
      <w:pPr>
        <w:pStyle w:val="ListParagraph"/>
        <w:numPr>
          <w:ilvl w:val="0"/>
          <w:numId w:val="3"/>
        </w:numPr>
        <w:spacing w:after="60" w:before="60"/>
      </w:pPr>
      <w:r>
        <w:rPr>
          <w:rFonts w:ascii="Arial" w:cs="Arial" w:eastAsia="Arial" w:hAnsi="Arial"/>
          <w:color w:val="000000"/>
          <w:sz w:val="22"/>
          <w:szCs w:val="22"/>
        </w:rPr>
        <w:t xml:space="preserve">Zhong S, et al. Transcriptional regulation by PHGDH drives amyloid pathology in Alzheimer’s disease. Cell. 2025 Apr 23;188(9). DOI: 10.1016/j.cell.2025.03.045. [39 citations as of May 2026]</w:t>
      </w:r>
    </w:p>
    <w:p>
      <w:pPr>
        <w:pStyle w:val="ListParagraph"/>
        <w:numPr>
          <w:ilvl w:val="0"/>
          <w:numId w:val="3"/>
        </w:numPr>
        <w:spacing w:after="60" w:before="60"/>
      </w:pPr>
      <w:r>
        <w:rPr>
          <w:rFonts w:ascii="Arial" w:cs="Arial" w:eastAsia="Arial" w:hAnsi="Arial"/>
          <w:color w:val="000000"/>
          <w:sz w:val="22"/>
          <w:szCs w:val="22"/>
        </w:rPr>
        <w:t xml:space="preserve">Chen J, et al. RNA-binding activity of PHGDH drives amyloid-β production in a human brain organoid model of sporadic Alzheimer’s disease. Proc Natl Acad Sci U S A. 2026;123. DOI: 10.1073/pnas.2532234123.</w:t>
      </w:r>
    </w:p>
    <w:p>
      <w:pPr>
        <w:pStyle w:val="ListParagraph"/>
        <w:numPr>
          <w:ilvl w:val="0"/>
          <w:numId w:val="3"/>
        </w:numPr>
        <w:spacing w:after="60" w:before="60"/>
      </w:pPr>
      <w:r>
        <w:rPr>
          <w:rFonts w:ascii="Arial" w:cs="Arial" w:eastAsia="Arial" w:hAnsi="Arial"/>
          <w:color w:val="000000"/>
          <w:sz w:val="22"/>
          <w:szCs w:val="22"/>
        </w:rPr>
        <w:t xml:space="preserve">Zhong S, et al. PHGDH expression increases with progression of Alzheimer’s disease pathology and symptoms. Cell Metabolism. 2022 May;34(5). DOI: 10.1016/j.cmet.2022.02.004. PMID: 35508105.</w:t>
      </w:r>
    </w:p>
    <w:p>
      <w:pPr>
        <w:pStyle w:val="ListParagraph"/>
        <w:numPr>
          <w:ilvl w:val="0"/>
          <w:numId w:val="3"/>
        </w:numPr>
        <w:spacing w:after="60" w:before="60"/>
      </w:pPr>
      <w:r>
        <w:rPr>
          <w:rFonts w:ascii="Arial" w:cs="Arial" w:eastAsia="Arial" w:hAnsi="Arial"/>
          <w:color w:val="000000"/>
          <w:sz w:val="22"/>
          <w:szCs w:val="22"/>
        </w:rPr>
        <w:t xml:space="preserve">Open Targets Platform. Target profile: PHGDH (ENSG00000092621). Disease: Alzheimer disease (MONDO:0004975). Accessed May 2026. https://platform.opentargets.org/</w:t>
      </w:r>
    </w:p>
    <w:p>
      <w:pPr>
        <w:pStyle w:val="ListParagraph"/>
        <w:numPr>
          <w:ilvl w:val="0"/>
          <w:numId w:val="3"/>
        </w:numPr>
        <w:spacing w:after="60" w:before="60"/>
      </w:pPr>
      <w:r>
        <w:rPr>
          <w:rFonts w:ascii="Arial" w:cs="Arial" w:eastAsia="Arial" w:hAnsi="Arial"/>
          <w:color w:val="000000"/>
          <w:sz w:val="22"/>
          <w:szCs w:val="22"/>
        </w:rPr>
        <w:t xml:space="preserve">Aken BL, et al. Ensembl 2017. Nucleic Acids Res. 2017;45(D1):D635-D642. DOI: 10.1093/nar/gkw1074.</w:t>
      </w:r>
    </w:p>
    <w:p>
      <w:pPr>
        <w:pStyle w:val="ListParagraph"/>
        <w:numPr>
          <w:ilvl w:val="0"/>
          <w:numId w:val="3"/>
        </w:numPr>
        <w:spacing w:after="60" w:before="60"/>
      </w:pPr>
      <w:r>
        <w:rPr>
          <w:rFonts w:ascii="Arial" w:cs="Arial" w:eastAsia="Arial" w:hAnsi="Arial"/>
          <w:color w:val="000000"/>
          <w:sz w:val="22"/>
          <w:szCs w:val="22"/>
        </w:rPr>
        <w:t xml:space="preserve">Karczewski KJ, et al. The mutational constraint spectrum quantified from variation in 141,456 humans. Nature. 2020;581(7809):434-443. DOI: 10.1038/s41586-020-2308-7. [gnomAD v4.0, pLI for PHGDH = 0, LOEUF = 1.16]</w:t>
      </w:r>
    </w:p>
    <w:p>
      <w:pPr>
        <w:pStyle w:val="ListParagraph"/>
        <w:numPr>
          <w:ilvl w:val="0"/>
          <w:numId w:val="3"/>
        </w:numPr>
        <w:spacing w:after="60" w:before="60"/>
      </w:pPr>
      <w:r>
        <w:rPr>
          <w:rFonts w:ascii="Arial" w:cs="Arial" w:eastAsia="Arial" w:hAnsi="Arial"/>
          <w:color w:val="000000"/>
          <w:sz w:val="22"/>
          <w:szCs w:val="22"/>
        </w:rPr>
        <w:t xml:space="preserve">Phosphoglycerate dehydrogenase deficiency. OMIM #601815. Online Mendelian Inheritance in Man. Johns Hopkins University. https://omim.org/entry/601815.</w:t>
      </w:r>
    </w:p>
    <w:p>
      <w:pPr>
        <w:pStyle w:val="ListParagraph"/>
        <w:numPr>
          <w:ilvl w:val="0"/>
          <w:numId w:val="3"/>
        </w:numPr>
        <w:spacing w:after="60" w:before="60"/>
      </w:pPr>
      <w:r>
        <w:rPr>
          <w:rFonts w:ascii="Arial" w:cs="Arial" w:eastAsia="Arial" w:hAnsi="Arial"/>
          <w:color w:val="000000"/>
          <w:sz w:val="22"/>
          <w:szCs w:val="22"/>
        </w:rPr>
        <w:t xml:space="preserve">Wei CH, et al. PubTator3.0: an AI-powered literature resource for unlocking biomedical knowledge. Nucleic Acids Res. 2024;52(W1):W540-W546. DOI: 10.1093/nar/gkae235.</w:t>
      </w:r>
    </w:p>
    <w:p>
      <w:pPr>
        <w:pStyle w:val="ListParagraph"/>
        <w:numPr>
          <w:ilvl w:val="0"/>
          <w:numId w:val="3"/>
        </w:numPr>
        <w:spacing w:after="60" w:before="60"/>
      </w:pPr>
      <w:r>
        <w:rPr>
          <w:rFonts w:ascii="Arial" w:cs="Arial" w:eastAsia="Arial" w:hAnsi="Arial"/>
          <w:color w:val="000000"/>
          <w:sz w:val="22"/>
          <w:szCs w:val="22"/>
        </w:rPr>
        <w:t xml:space="preserve">Europe PMC Consortium. Europe PMC: a full-text literature database for the life sciences and platform for innovation. Nucleic Acids Res. 2015;43(D1):D1042-D1048. DOI: 10.1093/nar/gku1061.</w:t>
      </w:r>
    </w:p>
    <w:p>
      <w:pPr>
        <w:pStyle w:val="ListParagraph"/>
        <w:numPr>
          <w:ilvl w:val="0"/>
          <w:numId w:val="3"/>
        </w:numPr>
        <w:spacing w:after="60" w:before="60"/>
      </w:pPr>
      <w:r>
        <w:rPr>
          <w:rFonts w:ascii="Arial" w:cs="Arial" w:eastAsia="Arial" w:hAnsi="Arial"/>
          <w:color w:val="000000"/>
          <w:sz w:val="22"/>
          <w:szCs w:val="22"/>
        </w:rPr>
        <w:t xml:space="preserve">Datta S, et al. PHGDH-dependent serine metabolism in astrocytes: A key regulator of oxidative stress and pyroptosis in cerebral ischemia-reperfusion injury. Redox Biol. 2025. DOI: 10.1016/j.redox.2025.</w:t>
      </w:r>
    </w:p>
    <w:p>
      <w:pPr>
        <w:pStyle w:val="ListParagraph"/>
        <w:numPr>
          <w:ilvl w:val="0"/>
          <w:numId w:val="3"/>
        </w:numPr>
        <w:spacing w:after="60" w:before="60"/>
      </w:pPr>
      <w:r>
        <w:rPr>
          <w:rFonts w:ascii="Arial" w:cs="Arial" w:eastAsia="Arial" w:hAnsi="Arial"/>
          <w:color w:val="000000"/>
          <w:sz w:val="22"/>
          <w:szCs w:val="22"/>
        </w:rPr>
        <w:t xml:space="preserve">PHGDH-mediated serine synthesis in astrocytes supports neuroinflammation by sustaining NADH level to promote histone acetylation. Cell Death Dis. 2025. Nature Publishing Group. DOI: 10.1038/s41419-025-07732-8.</w:t>
      </w:r>
    </w:p>
    <w:p>
      <w:pPr>
        <w:pStyle w:val="ListParagraph"/>
        <w:numPr>
          <w:ilvl w:val="0"/>
          <w:numId w:val="3"/>
        </w:numPr>
        <w:spacing w:after="60" w:before="60"/>
      </w:pPr>
      <w:r>
        <w:rPr>
          <w:rFonts w:ascii="Arial" w:cs="Arial" w:eastAsia="Arial" w:hAnsi="Arial"/>
          <w:color w:val="000000"/>
          <w:sz w:val="22"/>
          <w:szCs w:val="22"/>
        </w:rPr>
        <w:t xml:space="preserve">Bennett DA, et al. Religious Orders Study and Rush Memory and Aging Project. J Alzheimers Dis. 2018;64(s1):S161-S189. DOI: 10.3233/JAD-179939.</w:t>
      </w:r>
    </w:p>
    <w:p>
      <w:pPr>
        <w:pStyle w:val="ListParagraph"/>
        <w:numPr>
          <w:ilvl w:val="0"/>
          <w:numId w:val="3"/>
        </w:numPr>
        <w:spacing w:after="60" w:before="60"/>
      </w:pPr>
      <w:r>
        <w:rPr>
          <w:rFonts w:ascii="Arial" w:cs="Arial" w:eastAsia="Arial" w:hAnsi="Arial"/>
          <w:color w:val="000000"/>
          <w:sz w:val="22"/>
          <w:szCs w:val="22"/>
        </w:rPr>
        <w:t xml:space="preserve">Allen M, et al. Human whole genome genotype and exome sequence data from the Mayo Clinic Alzheimer’s disease genetic studies. Mol Neurodegener. 2016;11(1):33. DOI: 10.1186/s13024-016-0092-4.</w:t>
      </w:r>
    </w:p>
    <w:p>
      <w:pPr>
        <w:pStyle w:val="ListParagraph"/>
        <w:numPr>
          <w:ilvl w:val="0"/>
          <w:numId w:val="3"/>
        </w:numPr>
        <w:spacing w:after="60" w:before="60"/>
      </w:pPr>
      <w:r>
        <w:rPr>
          <w:rFonts w:ascii="Arial" w:cs="Arial" w:eastAsia="Arial" w:hAnsi="Arial"/>
          <w:color w:val="000000"/>
          <w:sz w:val="22"/>
          <w:szCs w:val="22"/>
        </w:rPr>
        <w:t xml:space="preserve">Ng A, et al. Plasma proteomic associations with Alzheimer’s disease endophenotypes. Nat Aging. 2025. DOI: 10.1038/s43587-025-00965-4.</w:t>
      </w:r>
    </w:p>
    <w:p>
      <w:pPr>
        <w:pStyle w:val="ListParagraph"/>
        <w:numPr>
          <w:ilvl w:val="0"/>
          <w:numId w:val="3"/>
        </w:numPr>
        <w:spacing w:after="60" w:before="60"/>
      </w:pPr>
      <w:r>
        <w:rPr>
          <w:rFonts w:ascii="Arial" w:cs="Arial" w:eastAsia="Arial" w:hAnsi="Arial"/>
          <w:color w:val="000000"/>
          <w:sz w:val="22"/>
          <w:szCs w:val="22"/>
        </w:rPr>
        <w:t xml:space="preserve">Reinforcing Nrf2 Signaling: Help in the Alzheimer’s Disease Context. Int J Mol Sci. 2025;26(3):1130. DOI: 10.3390/ijms26031130.</w:t>
      </w:r>
    </w:p>
    <w:p>
      <w:pPr>
        <w:spacing w:after="0" w:before="0"/>
      </w:pPr>
      <w:r>
        <w:t xml:space="preserve"/>
      </w:r>
    </w:p>
    <w:p>
      <w:pPr>
        <w:spacing w:after="0" w:before="0"/>
      </w:pPr>
      <w:r>
        <w:t xml:space="preserve"/>
      </w:r>
    </w:p>
    <w:p>
      <w:pPr>
        <w:pBdr>
          <w:bottom w:val="single" w:color="C9A84C" w:sz="6" w:space="1"/>
        </w:pBdr>
        <w:spacing w:after="120" w:before="120"/>
      </w:pPr>
    </w:p>
    <w:p>
      <w:pPr>
        <w:spacing w:after="40" w:before="120"/>
      </w:pPr>
      <w:r>
        <w:rPr>
          <w:rFonts w:ascii="Arial" w:cs="Arial" w:eastAsia="Arial" w:hAnsi="Arial"/>
          <w:b/>
          <w:bCs/>
          <w:color w:val="1B3A6B"/>
          <w:sz w:val="20"/>
          <w:szCs w:val="20"/>
        </w:rPr>
        <w:t xml:space="preserve">Correspondence: </w:t>
      </w:r>
      <w:r>
        <w:rPr>
          <w:rFonts w:ascii="Arial" w:cs="Arial" w:eastAsia="Arial" w:hAnsi="Arial"/>
          <w:color w:val="595959"/>
          <w:sz w:val="20"/>
          <w:szCs w:val="20"/>
        </w:rPr>
        <w:t xml:space="preserve">Nikhil Kurmachalam, University of Alabama at Birmingham — nkurmach@uab.edu</w:t>
      </w:r>
    </w:p>
    <w:p>
      <w:pPr>
        <w:spacing w:after="40" w:before="40"/>
      </w:pPr>
      <w:r>
        <w:rPr>
          <w:rFonts w:ascii="Arial" w:cs="Arial" w:eastAsia="Arial" w:hAnsi="Arial"/>
          <w:b/>
          <w:bCs/>
          <w:color w:val="1B3A6B"/>
          <w:sz w:val="20"/>
          <w:szCs w:val="20"/>
        </w:rPr>
        <w:t xml:space="preserve">Platform: </w:t>
      </w:r>
      <w:r>
        <w:rPr>
          <w:rFonts w:ascii="Arial" w:cs="Arial" w:eastAsia="Arial" w:hAnsi="Arial"/>
          <w:color w:val="595959"/>
          <w:sz w:val="20"/>
          <w:szCs w:val="20"/>
        </w:rPr>
        <w:t xml:space="preserve">DiseaseToTarget v2 — GET Scoring Framework — </w:t>
      </w:r>
      <w:r>
        <w:rPr>
          <w:rFonts w:ascii="Arial" w:cs="Arial" w:eastAsia="Arial" w:hAnsi="Arial"/>
          <w:color w:val="2E75B6"/>
          <w:sz w:val="20"/>
          <w:szCs w:val="20"/>
        </w:rPr>
        <w:t xml:space="preserve">https://diseasetotarget.netlify.app</w:t>
      </w:r>
    </w:p>
    <w:p>
      <w:pPr>
        <w:spacing w:after="0" w:before="40"/>
      </w:pPr>
      <w:r>
        <w:rPr>
          <w:rFonts w:ascii="Arial" w:cs="Arial" w:eastAsia="Arial" w:hAnsi="Arial"/>
          <w:i/>
          <w:iCs/>
          <w:color w:val="595959"/>
          <w:sz w:val="18"/>
          <w:szCs w:val="18"/>
        </w:rPr>
        <w:t xml:space="preserve">Analysis date: May 21, 2026. All data sources publicly available. No patient data accessed.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20"/>
    </w:pPr>
    <w:r>
      <w:rPr>
        <w:rFonts w:ascii="Arial" w:cs="Arial" w:eastAsia="Arial" w:hAnsi="Arial"/>
        <w:i/>
        <w:iCs/>
        <w:color w:val="595959"/>
        <w:sz w:val="18"/>
        <w:szCs w:val="18"/>
      </w:rPr>
      <w:t xml:space="preserve">Confidential — Target Intelligence Report</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20"/>
    </w:pPr>
    <w:r>
      <w:rPr>
        <w:rFonts w:ascii="Arial" w:cs="Arial" w:eastAsia="Arial" w:hAnsi="Arial"/>
        <w:color w:val="595959"/>
        <w:sz w:val="18"/>
        <w:szCs w:val="18"/>
      </w:rPr>
      <w:t xml:space="preserve">CASE STUDY — PHGDH × Alzheimer’s Disease</w:t>
    </w:r>
    <w:r>
      <w:rPr>
        <w:rFonts w:ascii="Arial" w:cs="Arial" w:eastAsia="Arial" w:hAnsi="Arial"/>
        <w:sz w:val="18"/>
        <w:szCs w:val="18"/>
      </w:rPr>
      <w:t xml:space="preserve">	</w:t>
    </w:r>
    <w:r>
      <w:rPr>
        <w:rFonts w:ascii="Arial" w:cs="Arial" w:eastAsia="Arial" w:hAnsi="Arial"/>
        <w:i/>
        <w:iCs/>
        <w:color w:val="595959"/>
        <w:sz w:val="18"/>
        <w:szCs w:val="18"/>
      </w:rPr>
      <w:t xml:space="preserve">DiseaseToTarget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2026-05-21T21:51:33.936Z</dcterms:created>
  <dcterms:modified xsi:type="dcterms:W3CDTF">2026-05-21T21:51:33.936Z</dcterms:modified>
</cp:coreProperties>
</file>

<file path=docProps/custom.xml><?xml version="1.0" encoding="utf-8"?>
<Properties xmlns="http://schemas.openxmlformats.org/officeDocument/2006/custom-properties" xmlns:vt="http://schemas.openxmlformats.org/officeDocument/2006/docPropsVTypes"/>
</file>