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0"/>
                    </a:xfrm>
                    <a:prstGeom prst="rect">
                      <a:avLst/>
                    </a:prstGeom>
                  </pic:spPr>
                </pic:pic>
              </a:graphicData>
            </a:graphic>
          </wp:inline>
        </w:drawing>
      </w:r>
    </w:p>
    <w:p>
      <w:pPr>
        <w:spacing w:after="80"/>
        <w:jc w:val="center"/>
      </w:pPr>
      <w:r>
        <w:rPr>
          <w:b/>
          <w:bCs/>
          <w:color w:val="0A1428"/>
          <w:sz w:val="56"/>
          <w:szCs w:val="56"/>
        </w:rPr>
        <w:t xml:space="preserve">UrbanSynapse AI</w:t>
      </w:r>
    </w:p>
    <w:p>
      <w:pPr>
        <w:spacing w:after="60"/>
        <w:jc w:val="center"/>
      </w:pPr>
      <w:r>
        <w:rPr>
          <w:color w:val="1E6FA8"/>
          <w:sz w:val="30"/>
          <w:szCs w:val="30"/>
        </w:rPr>
        <w:t xml:space="preserve">Document d'architecture technique</w:t>
      </w:r>
    </w:p>
    <w:p>
      <w:pPr>
        <w:spacing w:after="600"/>
        <w:jc w:val="center"/>
      </w:pPr>
      <w:r>
        <w:rPr>
          <w:i/>
          <w:iCs/>
          <w:color w:val="555555"/>
          <w:sz w:val="22"/>
          <w:szCs w:val="22"/>
        </w:rPr>
        <w:t xml:space="preserve">Plateforme d'intelligence territoriale prédictive</w:t>
      </w:r>
    </w:p>
    <w:p>
      <w:pPr>
        <w:jc w:val="center"/>
      </w:pPr>
      <w:r>
        <w:rPr>
          <w:color w:val="B58A1B"/>
          <w:sz w:val="20"/>
          <w:szCs w:val="20"/>
        </w:rPr>
        <w:t xml:space="preserve">Smart Cities  ·  Data  ·  Sustainability</w:t>
      </w:r>
    </w:p>
    <w:p>
      <w:pPr>
        <w:spacing w:before="1400"/>
        <w:jc w:val="center"/>
      </w:pPr>
      <w:r>
        <w:rPr>
          <w:color w:val="555555"/>
          <w:sz w:val="20"/>
          <w:szCs w:val="20"/>
        </w:rPr>
        <w:t xml:space="preserve">Version 1.0  —  Juin 2026</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Contexte</w:t>
      </w:r>
    </w:p>
    <w:p>
      <w:pPr>
        <w:spacing w:after="120"/>
      </w:pPr>
      <w:r>
        <w:t xml:space="preserve">UrbanSynapse AI est une plateforme d'intelligence territoriale prédictive intégrée, conçue pour répondre aux défis complexes de la planification urbaine durable dans les villes algériennes et du Sud global. Elle articule systèmes d'information géographique (SIG), modélisation multicritère, intelligence artificielle et simulation énergétique au sein d'un cadre décisionnel unifié.</w:t>
      </w:r>
    </w:p>
    <w:p>
      <w:pPr>
        <w:spacing w:after="120"/>
      </w:pPr>
      <w:r>
        <w:t xml:space="preserve">La plateforme permet une analyse multi-échelles — du territoire au quartier jusqu'au bâtiment — des dynamiques urbaines, des performances énergétiques et des vulnérabilités climatiques.</w:t>
      </w:r>
    </w:p>
    <w:p>
      <w:pPr>
        <w:pStyle w:val="Heading2"/>
      </w:pPr>
      <w:r>
        <w:t xml:space="preserve">1.2 Originalité scientifique</w:t>
      </w:r>
    </w:p>
    <w:p>
      <w:pPr>
        <w:spacing w:after="120"/>
      </w:pPr>
      <w:r>
        <w:t xml:space="preserve">L'originalité réside dans l'intégration systémique de la rénovation énergétique du bâti existant au sein d'une vision territoriale globale, dimension jusqu'alors absente des outils de planification conventionnels (PDAU, POS, études sectorielles). La plateforme vise à transformer la planification urbaine d'une approche descriptive et fragmentée vers une intelligence territoriale prédictive, résiliente et performante.</w:t>
      </w:r>
    </w:p>
    <w:p>
      <w:pPr>
        <w:pStyle w:val="Heading2"/>
      </w:pPr>
      <w:r>
        <w:t xml:space="preserve">1.3 Objet du document</w:t>
      </w:r>
    </w:p>
    <w:p>
      <w:pPr>
        <w:spacing w:after="120"/>
      </w:pPr>
      <w:r>
        <w:t xml:space="preserve">Ce document décrit l'architecture logicielle, les choix technologiques, le modèle de données géospatial, les flux applicatifs, ainsi que les stratégies de déploiement et de sécurité de la plateforme.</w:t>
      </w:r>
    </w:p>
    <w:p>
      <w:pPr>
        <w:pStyle w:val="Heading1"/>
      </w:pPr>
      <w:r>
        <w:t xml:space="preserve">2. Vision architecturale</w:t>
      </w:r>
    </w:p>
    <w:p>
      <w:pPr>
        <w:spacing w:after="120"/>
      </w:pPr>
      <w:r>
        <w:t xml:space="preserve">UrbanSynapse AI adopte une architecture en couches, découplant la présentation (SPA React), la logique applicative (API FastAPI), les traitements analytiques (services métier, SIG, IA) et la persistance (PostgreSQL/PostGIS, Redis). Les traitements lourds (simulations territoriales) sont délégués à des workers asynchrones.</w:t>
      </w:r>
    </w:p>
    <w:p>
      <w:pPr>
        <w:pStyle w:val="Heading2"/>
      </w:pPr>
      <w:r>
        <w:t xml:space="preserve">2.1 Principes directeurs</w:t>
      </w:r>
    </w:p>
    <w:p>
      <w:pPr>
        <w:pStyle w:val="ListParagraph"/>
        <w:numPr>
          <w:ilvl w:val="0"/>
          <w:numId w:val="2"/>
        </w:numPr>
      </w:pPr>
      <w:r>
        <w:t xml:space="preserve">Séparation des responsabilités : chaque couche expose un contrat clair (REST/JSON, GeoJSON).</w:t>
      </w:r>
    </w:p>
    <w:p>
      <w:pPr>
        <w:pStyle w:val="ListParagraph"/>
        <w:numPr>
          <w:ilvl w:val="0"/>
          <w:numId w:val="2"/>
        </w:numPr>
      </w:pPr>
      <w:r>
        <w:t xml:space="preserve">Géospatial natif : la donnée spatiale est traitée de bout en bout (PostGIS, GeoAlchemy2, MapLibre).</w:t>
      </w:r>
    </w:p>
    <w:p>
      <w:pPr>
        <w:pStyle w:val="ListParagraph"/>
        <w:numPr>
          <w:ilvl w:val="0"/>
          <w:numId w:val="2"/>
        </w:numPr>
      </w:pPr>
      <w:r>
        <w:t xml:space="preserve">Prédictif par conception : les indicateurs sont calculés par des modèles ML entraînables et versionnés.</w:t>
      </w:r>
    </w:p>
    <w:p>
      <w:pPr>
        <w:pStyle w:val="ListParagraph"/>
        <w:numPr>
          <w:ilvl w:val="0"/>
          <w:numId w:val="2"/>
        </w:numPr>
      </w:pPr>
      <w:r>
        <w:t xml:space="preserve">Asynchronisme : les simulations coûteuses ne bloquent jamais l'interface utilisateur.</w:t>
      </w:r>
    </w:p>
    <w:p>
      <w:pPr>
        <w:pStyle w:val="ListParagraph"/>
        <w:numPr>
          <w:ilvl w:val="0"/>
          <w:numId w:val="2"/>
        </w:numPr>
      </w:pPr>
      <w:r>
        <w:t xml:space="preserve">Reproductibilité : conteneurisation complète (Docker) et intégration continue.</w:t>
      </w:r>
    </w:p>
    <w:p>
      <w:pPr>
        <w:pStyle w:val="Heading2"/>
      </w:pPr>
      <w:r>
        <w:t xml:space="preserve">2.2 Diagramme de couches</w:t>
      </w:r>
    </w:p>
    <w:p>
      <w:pPr>
        <w:shd w:fill="F2F4F7" w:val="clear"/>
        <w:spacing w:after="0"/>
      </w:pPr>
      <w:r>
        <w:rPr>
          <w:rFonts w:ascii="Consolas" w:cs="Consolas" w:eastAsia="Consolas" w:hAnsi="Consolas"/>
          <w:sz w:val="18"/>
          <w:szCs w:val="18"/>
        </w:rPr>
        <w:t xml:space="preserve">┌───────────────────────────────────────────────────────────┐</w:t>
      </w:r>
    </w:p>
    <w:p>
      <w:pPr>
        <w:shd w:fill="F2F4F7" w:val="clear"/>
        <w:spacing w:after="0"/>
      </w:pPr>
      <w:r>
        <w:rPr>
          <w:rFonts w:ascii="Consolas" w:cs="Consolas" w:eastAsia="Consolas" w:hAnsi="Consolas"/>
          <w:sz w:val="18"/>
          <w:szCs w:val="18"/>
        </w:rPr>
        <w:t xml:space="preserve">│              NAVIGATEUR — SPA React + Vite + TS            │</w:t>
      </w:r>
    </w:p>
    <w:p>
      <w:pPr>
        <w:shd w:fill="F2F4F7" w:val="clear"/>
        <w:spacing w:after="0"/>
      </w:pPr>
      <w:r>
        <w:rPr>
          <w:rFonts w:ascii="Consolas" w:cs="Consolas" w:eastAsia="Consolas" w:hAnsi="Consolas"/>
          <w:sz w:val="18"/>
          <w:szCs w:val="18"/>
        </w:rPr>
        <w:t xml:space="preserve">│  Dashboard · Analyse SIG · Simulation · Rapports          │</w:t>
      </w:r>
    </w:p>
    <w:p>
      <w:pPr>
        <w:shd w:fill="F2F4F7" w:val="clear"/>
        <w:spacing w:after="0"/>
      </w:pPr>
      <w:r>
        <w:rPr>
          <w:rFonts w:ascii="Consolas" w:cs="Consolas" w:eastAsia="Consolas" w:hAnsi="Consolas"/>
          <w:sz w:val="18"/>
          <w:szCs w:val="18"/>
        </w:rPr>
        <w:t xml:space="preserve">└───────────────┬───────────────────────────────────────────┘</w:t>
      </w:r>
    </w:p>
    <w:p>
      <w:pPr>
        <w:shd w:fill="F2F4F7" w:val="clear"/>
        <w:spacing w:after="0"/>
      </w:pPr>
      <w:r>
        <w:rPr>
          <w:rFonts w:ascii="Consolas" w:cs="Consolas" w:eastAsia="Consolas" w:hAnsi="Consolas"/>
          <w:sz w:val="18"/>
          <w:szCs w:val="18"/>
        </w:rPr>
        <w:t xml:space="preserve">                │  REST / JSON · GeoJSON (HTTPS)</w:t>
      </w:r>
    </w:p>
    <w:p>
      <w:pPr>
        <w:shd w:fill="F2F4F7" w:val="clear"/>
        <w:spacing w:after="0"/>
      </w:pPr>
      <w:r>
        <w:rPr>
          <w:rFonts w:ascii="Consolas" w:cs="Consolas" w:eastAsia="Consolas" w:hAnsi="Consolas"/>
          <w:sz w:val="18"/>
          <w:szCs w:val="18"/>
        </w:rPr>
        <w:t xml:space="preserve">┌───────────────▼───────────────────────────────────────────┐</w:t>
      </w:r>
    </w:p>
    <w:p>
      <w:pPr>
        <w:shd w:fill="F2F4F7" w:val="clear"/>
        <w:spacing w:after="0"/>
      </w:pPr>
      <w:r>
        <w:rPr>
          <w:rFonts w:ascii="Consolas" w:cs="Consolas" w:eastAsia="Consolas" w:hAnsi="Consolas"/>
          <w:sz w:val="18"/>
          <w:szCs w:val="18"/>
        </w:rPr>
        <w:t xml:space="preserve">│                   API FastAPI  (/api/v1)                   │</w:t>
      </w:r>
    </w:p>
    <w:p>
      <w:pPr>
        <w:shd w:fill="F2F4F7" w:val="clear"/>
        <w:spacing w:after="0"/>
      </w:pPr>
      <w:r>
        <w:rPr>
          <w:rFonts w:ascii="Consolas" w:cs="Consolas" w:eastAsia="Consolas" w:hAnsi="Consolas"/>
          <w:sz w:val="18"/>
          <w:szCs w:val="18"/>
        </w:rPr>
        <w:t xml:space="preserve">│  Endpoints → Services (scoring, energy) → ML (predictor)  │</w:t>
      </w:r>
    </w:p>
    <w:p>
      <w:pPr>
        <w:shd w:fill="F2F4F7" w:val="clear"/>
        <w:spacing w:after="0"/>
      </w:pPr>
      <w:r>
        <w:rPr>
          <w:rFonts w:ascii="Consolas" w:cs="Consolas" w:eastAsia="Consolas" w:hAnsi="Consolas"/>
          <w:sz w:val="18"/>
          <w:szCs w:val="18"/>
        </w:rPr>
        <w:t xml:space="preserve">│  Couche GIS (Shapely/PyProj)   ·   Tâches Celery          │</w:t>
      </w:r>
    </w:p>
    <w:p>
      <w:pPr>
        <w:shd w:fill="F2F4F7" w:val="clear"/>
        <w:spacing w:after="0"/>
      </w:pPr>
      <w:r>
        <w:rPr>
          <w:rFonts w:ascii="Consolas" w:cs="Consolas" w:eastAsia="Consolas" w:hAnsi="Consolas"/>
          <w:sz w:val="18"/>
          <w:szCs w:val="18"/>
        </w:rPr>
        <w:t xml:space="preserve">└──────┬──────────────────────────────────────┬─────────────┘</w:t>
      </w:r>
    </w:p>
    <w:p>
      <w:pPr>
        <w:shd w:fill="F2F4F7" w:val="clear"/>
        <w:spacing w:after="0"/>
      </w:pPr>
      <w:r>
        <w:rPr>
          <w:rFonts w:ascii="Consolas" w:cs="Consolas" w:eastAsia="Consolas" w:hAnsi="Consolas"/>
          <w:sz w:val="18"/>
          <w:szCs w:val="18"/>
        </w:rPr>
        <w:t xml:space="preserve">       │ SQLAlchemy + GeoAlchemy2             │ Redis</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  PostgreSQL 16 + PostGIS     │   │  Redis (broker/cache)   │</w:t>
      </w:r>
    </w:p>
    <w:p>
      <w:pPr>
        <w:shd w:fill="F2F4F7" w:val="clear"/>
        <w:spacing w:after="160"/>
      </w:pPr>
      <w:r>
        <w:rPr>
          <w:rFonts w:ascii="Consolas" w:cs="Consolas" w:eastAsia="Consolas" w:hAnsi="Consolas"/>
          <w:sz w:val="18"/>
          <w:szCs w:val="18"/>
        </w:rPr>
        <w:t xml:space="preserve">└─────────────────────────────┘   └─────────────────────────┘</w:t>
      </w:r>
    </w:p>
    <w:p>
      <w:pPr>
        <w:pStyle w:val="Heading1"/>
      </w:pPr>
      <w:r>
        <w:t xml:space="preserve">3.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Couche</w:t>
            </w:r>
          </w:p>
        </w:tc>
        <w:tc>
          <w:tcPr>
            <w:tcW w:type="dxa" w:w="420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Technologies</w:t>
            </w:r>
          </w:p>
        </w:tc>
        <w:tc>
          <w:tcPr>
            <w:tcW w:type="dxa" w:w="276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Rôle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18, Vite, TypeScript, TailwindCSS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Interface SPA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État / Données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TanStack Query, Zustand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 serveur &amp; état UI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Cartographie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MapLibre GL, deck.gl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Rendu SIG 2D/3D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Visualisation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Recharts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Graphiques KPIs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3.12, FastAPI, Pydantic v2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REST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ORM / Géo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SQLAlchemy 2, GeoAlchemy2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Persistance spatiale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 de données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16 + PostGIS 3.4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Stockage géospatial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Géotraitement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Shapely, GeoPandas, PyProj, Rasterio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Opérations spatiales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IA / ML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scikit-learn, XGBoost, NumPy, Pandas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Prédiction d'indicateurs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Asynchrone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Celery + Redis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Simulations lourdes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Compose, Nginx, GitHub Actions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Déploiement &amp; CI</w:t>
            </w:r>
          </w:p>
        </w:tc>
      </w:tr>
    </w:tbl>
    <w:p>
      <w:pPr>
        <w:pStyle w:val="Heading1"/>
      </w:pPr>
      <w:r>
        <w:t xml:space="preserve">4. Architecture backend</w:t>
      </w:r>
    </w:p>
    <w:p>
      <w:pPr>
        <w:pStyle w:val="Heading2"/>
      </w:pPr>
      <w:r>
        <w:t xml:space="preserve">4.1 Organisation des modules</w:t>
      </w:r>
    </w:p>
    <w:p>
      <w:pPr>
        <w:spacing w:after="120"/>
      </w:pPr>
      <w:r>
        <w:t xml:space="preserve">Le backend suit une structure en domaines : api (exposition REST), core (configuration &amp; sécurité), db (session), models (ORM), schemas (DTO Pydantic), services (logique métier), gis (géotraitement), ml (prédiction) et tasks (asynchrone).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Module</w:t>
            </w:r>
          </w:p>
        </w:tc>
        <w:tc>
          <w:tcPr>
            <w:tcW w:type="dxa" w:w="676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Responsabilité</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app/api/v1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Routeur et endpoints REST (territories, scenarios, energy)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app/core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Configuration centralisée (Pydantic Settings) et sécurité JWT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app/db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Moteur SQLAlchemy, fabrique de sessions, Base déclarative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app/models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Entités ORM : Territory, Zone, Building, Indicator, Scenario, User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app/schemas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Schémas d'entrée/sortie validés (Pydantic v2)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app/services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Scoring multicritère, simulation de rénovation énergétique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app/gis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Reprojection, conversion GeoJSON, calcul d'aires (CRS algérien)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app/ml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Predictor XGBoost, pipelines et scripts d'entraînement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app/tasks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Worker Celery pour simulations longues</w:t>
            </w:r>
          </w:p>
        </w:tc>
      </w:tr>
    </w:tbl>
    <w:p>
      <w:pPr>
        <w:pStyle w:val="Heading2"/>
      </w:pPr>
      <w:r>
        <w:t xml:space="preserve">4.2 Couche de scoring multicritère</w:t>
      </w:r>
    </w:p>
    <w:p>
      <w:pPr>
        <w:spacing w:after="120"/>
      </w:pPr>
      <w:r>
        <w:t xml:space="preserve">Le moteur de scoring applique une somme pondérée normalisée (0-100) sur des critères territoriaux (performance énergétique, résilience, qualité de l'air, surfaces vertes, mobilité, densité). Les pondérations par défaut sont calibrées pour le contexte urbain algérien et restent surchargées par scénario, ouvrant la voie à une pondération de type AHP.</w:t>
      </w:r>
    </w:p>
    <w:p>
      <w:pPr>
        <w:pStyle w:val="Heading2"/>
      </w:pPr>
      <w:r>
        <w:t xml:space="preserve">4.3 Simulation énergétique du bâti</w:t>
      </w:r>
    </w:p>
    <w:p>
      <w:pPr>
        <w:spacing w:after="120"/>
      </w:pPr>
      <w:r>
        <w:t xml:space="preserve">Le service énergétique estime la consommation de référence d'un bâtiment (kWh/m²/an) selon sa classe, puis applique des mesures de rénovation combinées (isolation, vitrage, CVC, photovoltaïque) via une réduction multiplicative, restituant les gains avant/après et le pourcentage d'économie.</w:t>
      </w:r>
    </w:p>
    <w:p>
      <w:pPr>
        <w:pStyle w:val="Heading1"/>
      </w:pPr>
      <w:r>
        <w:t xml:space="preserve">5. Modèle de données géospatial</w:t>
      </w:r>
    </w:p>
    <w:p>
      <w:pPr>
        <w:spacing w:after="120"/>
      </w:pPr>
      <w:r>
        <w:t xml:space="preserve">Le modèle repose sur une hiérarchie spatiale Territoire → Zone → Bâtiment, enrichie d'indicateurs et de scénarios. Les géométries sont stockées en SRID 4326 (WGS84) et reprojetées en SRID 30729 (Nord Sahara 1959 / UTM 29N) pour les calculs métriques.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Table</w:t>
            </w:r>
          </w:p>
        </w:tc>
        <w:tc>
          <w:tcPr>
            <w:tcW w:type="dxa" w:w="260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Géométrie</w:t>
            </w:r>
          </w:p>
        </w:tc>
        <w:tc>
          <w:tcPr>
            <w:tcW w:type="dxa" w:w="456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Champs clés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territories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MULTIPOLYGON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wilaya_code, population, area_km2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zones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POLYGON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land_use, territory_id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buildings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POLYGON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construction_year, energy_class, annual_kwh_m2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indicators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 value, unit, recorded_at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scenarios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parameters (JSON), results (JSON), performance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role (admin/planner/analyst)</w:t>
            </w:r>
          </w:p>
        </w:tc>
      </w:tr>
    </w:tbl>
    <w:p>
      <w:pPr>
        <w:pStyle w:val="Heading1"/>
      </w:pPr>
      <w:r>
        <w:t xml:space="preserve">6. Architecture frontend</w:t>
      </w:r>
    </w:p>
    <w:p>
      <w:pPr>
        <w:spacing w:after="120"/>
      </w:pPr>
      <w:r>
        <w:t xml:space="preserve">La SPA React est organisée par fonctionnalités (features) et composants réutilisables (ui, charts, map, layout). La récupération de données passe par TanStack Query (cache serveur) tandis que l'état d'interface global est géré par Zustand. La cartographie s'appuie sur MapLibre GL et deck.gl pour les couches analytiques.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Répertoire</w:t>
            </w:r>
          </w:p>
        </w:tc>
        <w:tc>
          <w:tcPr>
            <w:tcW w:type="dxa" w:w="676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Contenu</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src/api</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axios, intercepteurs JWT, fonctions d'appel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src/components/ui</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Cartes KPI, éléments d'interface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src/components/charts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Graphiques (donut sectoriel, séries temporelles)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src/components/map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Carte territoriale MapLibre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src/components/layout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Sidebar, Topbar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src/features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Modules métier (dashboard, simulation, énergie…)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src/layouts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DashboardLayout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src/pages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Pages routées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src/store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État global Zustand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src/types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Typages partagés (Territory, Indicator)</w:t>
            </w:r>
          </w:p>
        </w:tc>
      </w:tr>
    </w:tbl>
    <w:p>
      <w:pPr>
        <w:pStyle w:val="Heading1"/>
      </w:pPr>
      <w:r>
        <w:t xml:space="preserve">7. Flux applicatifs</w:t>
      </w:r>
    </w:p>
    <w:p>
      <w:pPr>
        <w:pStyle w:val="Heading2"/>
      </w:pPr>
      <w:r>
        <w:t xml:space="preserve">7.1 Création et évaluation d'un scénario</w:t>
      </w:r>
    </w:p>
    <w:p>
      <w:pPr>
        <w:pStyle w:val="ListParagraph"/>
        <w:numPr>
          <w:ilvl w:val="0"/>
          <w:numId w:val="2"/>
        </w:numPr>
      </w:pPr>
      <w:r>
        <w:t xml:space="preserve">L'utilisateur définit les leviers d'un scénario depuis l'interface Simulation.</w:t>
      </w:r>
    </w:p>
    <w:p>
      <w:pPr>
        <w:pStyle w:val="ListParagraph"/>
        <w:numPr>
          <w:ilvl w:val="0"/>
          <w:numId w:val="2"/>
        </w:numPr>
      </w:pPr>
      <w:r>
        <w:t xml:space="preserve">Le frontend POST /api/v1/scenarios avec les paramètres.</w:t>
      </w:r>
    </w:p>
    <w:p>
      <w:pPr>
        <w:pStyle w:val="ListParagraph"/>
        <w:numPr>
          <w:ilvl w:val="0"/>
          <w:numId w:val="2"/>
        </w:numPr>
      </w:pPr>
      <w:r>
        <w:t xml:space="preserve">Le service de scoring calcule la performance globale et la répartition par critère.</w:t>
      </w:r>
    </w:p>
    <w:p>
      <w:pPr>
        <w:pStyle w:val="ListParagraph"/>
        <w:numPr>
          <w:ilvl w:val="0"/>
          <w:numId w:val="2"/>
        </w:numPr>
      </w:pPr>
      <w:r>
        <w:t xml:space="preserve">Le scénario et ses résultats sont persistés puis renvoyés à l'interface.</w:t>
      </w:r>
    </w:p>
    <w:p>
      <w:pPr>
        <w:pStyle w:val="ListParagraph"/>
        <w:numPr>
          <w:ilvl w:val="0"/>
          <w:numId w:val="2"/>
        </w:numPr>
      </w:pPr>
      <w:r>
        <w:t xml:space="preserve">Les simulations lourdes sont déléguées à Celery et suivies de façon asynchrone.</w:t>
      </w:r>
    </w:p>
    <w:p>
      <w:pPr>
        <w:pStyle w:val="Heading2"/>
      </w:pPr>
      <w:r>
        <w:t xml:space="preserve">7.2 Analyse territoriale cartographique</w:t>
      </w:r>
    </w:p>
    <w:p>
      <w:pPr>
        <w:pStyle w:val="ListParagraph"/>
        <w:numPr>
          <w:ilvl w:val="0"/>
          <w:numId w:val="2"/>
        </w:numPr>
      </w:pPr>
      <w:r>
        <w:t xml:space="preserve">Le frontend requête les territoires (GET /territories) et affiche les couches SIG.</w:t>
      </w:r>
    </w:p>
    <w:p>
      <w:pPr>
        <w:pStyle w:val="ListParagraph"/>
        <w:numPr>
          <w:ilvl w:val="0"/>
          <w:numId w:val="2"/>
        </w:numPr>
      </w:pPr>
      <w:r>
        <w:t xml:space="preserve">Les géométries GeoJSON sont rendues via MapLibre / deck.gl.</w:t>
      </w:r>
    </w:p>
    <w:p>
      <w:pPr>
        <w:pStyle w:val="ListParagraph"/>
        <w:numPr>
          <w:ilvl w:val="0"/>
          <w:numId w:val="2"/>
        </w:numPr>
      </w:pPr>
      <w:r>
        <w:t xml:space="preserve">Les indicateurs prédits par le modèle ML colorent les couches analytiques.</w:t>
      </w:r>
    </w:p>
    <w:p>
      <w:pPr>
        <w:pStyle w:val="Heading1"/>
      </w:pPr>
      <w:r>
        <w:t xml:space="preserve">8. Sécurité</w:t>
      </w:r>
    </w:p>
    <w:p>
      <w:pPr>
        <w:pStyle w:val="ListParagraph"/>
        <w:numPr>
          <w:ilvl w:val="0"/>
          <w:numId w:val="2"/>
        </w:numPr>
      </w:pPr>
      <w:r>
        <w:t xml:space="preserve">Authentification par jeton JWT signé (HS256), expiration configurable.</w:t>
      </w:r>
    </w:p>
    <w:p>
      <w:pPr>
        <w:pStyle w:val="ListParagraph"/>
        <w:numPr>
          <w:ilvl w:val="0"/>
          <w:numId w:val="2"/>
        </w:numPr>
      </w:pPr>
      <w:r>
        <w:t xml:space="preserve">Hachage des mots de passe via bcrypt (passlib).</w:t>
      </w:r>
    </w:p>
    <w:p>
      <w:pPr>
        <w:pStyle w:val="ListParagraph"/>
        <w:numPr>
          <w:ilvl w:val="0"/>
          <w:numId w:val="2"/>
        </w:numPr>
      </w:pPr>
      <w:r>
        <w:t xml:space="preserve">Contrôle d'accès par rôle : admin, planner, analyst.</w:t>
      </w:r>
    </w:p>
    <w:p>
      <w:pPr>
        <w:pStyle w:val="ListParagraph"/>
        <w:numPr>
          <w:ilvl w:val="0"/>
          <w:numId w:val="2"/>
        </w:numPr>
      </w:pPr>
      <w:r>
        <w:t xml:space="preserve">CORS restreint aux origines déclarées en configuration.</w:t>
      </w:r>
    </w:p>
    <w:p>
      <w:pPr>
        <w:pStyle w:val="ListParagraph"/>
        <w:numPr>
          <w:ilvl w:val="0"/>
          <w:numId w:val="2"/>
        </w:numPr>
      </w:pPr>
      <w:r>
        <w:t xml:space="preserve">Secrets injectés par variables d'environnement, jamais versionnés.</w:t>
      </w:r>
    </w:p>
    <w:p>
      <w:pPr>
        <w:pStyle w:val="Heading1"/>
      </w:pPr>
      <w:r>
        <w:t xml:space="preserve">9. Déploiement et exploitation</w:t>
      </w:r>
    </w:p>
    <w:p>
      <w:pPr>
        <w:spacing w:after="120"/>
      </w:pPr>
      <w:r>
        <w:t xml:space="preserve">L'ensemble des services (base PostGIS, Redis, API, worker, frontend) est orchestré via Docker Compose. Nginx assure le routage en production. L'intégration continue (GitHub Actions) exécute les tests backend et la compilation TypeScript du frontend à chaque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Service</w:t>
            </w:r>
          </w:p>
        </w:tc>
        <w:tc>
          <w:tcPr>
            <w:tcW w:type="dxa" w:w="616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16 + PostGIS (port 5432)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Courtier de messages et cache (port 6379)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FastAPI servie par Uvicorn (port 8000)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Worker Celery pour les simulations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 React servie par Vite (port 5173)</w:t>
            </w:r>
          </w:p>
        </w:tc>
      </w:tr>
    </w:tbl>
    <w:p>
      <w:pPr>
        <w:pStyle w:val="Heading1"/>
      </w:pPr>
      <w:r>
        <w:t xml:space="preserve">10. Évolutions futures</w:t>
      </w:r>
    </w:p>
    <w:p>
      <w:pPr>
        <w:pStyle w:val="ListParagraph"/>
        <w:numPr>
          <w:ilvl w:val="0"/>
          <w:numId w:val="2"/>
        </w:numPr>
      </w:pPr>
      <w:r>
        <w:t xml:space="preserve">Intégration de jumeaux numériques 3D (CityGML / 3D Tiles).</w:t>
      </w:r>
    </w:p>
    <w:p>
      <w:pPr>
        <w:pStyle w:val="ListParagraph"/>
        <w:numPr>
          <w:ilvl w:val="0"/>
          <w:numId w:val="2"/>
        </w:numPr>
      </w:pPr>
      <w:r>
        <w:t xml:space="preserve">Pondération multicritère AHP interactive paramétrable par l'utilisateur.</w:t>
      </w:r>
    </w:p>
    <w:p>
      <w:pPr>
        <w:pStyle w:val="ListParagraph"/>
        <w:numPr>
          <w:ilvl w:val="0"/>
          <w:numId w:val="2"/>
        </w:numPr>
      </w:pPr>
      <w:r>
        <w:t xml:space="preserve">Connecteurs temps réel (capteurs IoT, données de mobilité).</w:t>
      </w:r>
    </w:p>
    <w:p>
      <w:pPr>
        <w:pStyle w:val="ListParagraph"/>
        <w:numPr>
          <w:ilvl w:val="0"/>
          <w:numId w:val="2"/>
        </w:numPr>
      </w:pPr>
      <w:r>
        <w:t xml:space="preserve">Module de génération automatique de rapports décisionnels (PDF).</w:t>
      </w:r>
    </w:p>
    <w:p>
      <w:pPr>
        <w:pStyle w:val="ListParagraph"/>
        <w:numPr>
          <w:ilvl w:val="0"/>
          <w:numId w:val="2"/>
        </w:numPr>
      </w:pPr>
      <w:r>
        <w:t xml:space="preserve">Extension du périmètre aux wilayas et métropoles du Sud global.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UrbanSynapse AI — Architecture technique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6FA8" w:sz="6" w:space="4"/>
      </w:pBdr>
      <w:spacing w:after="160" w:before="280"/>
      <w:outlineLvl w:val="0"/>
    </w:pPr>
    <w:rPr>
      <w:rFonts w:ascii="Arial" w:cs="Arial" w:eastAsia="Arial" w:hAnsi="Arial"/>
      <w:b/>
      <w:bCs/>
      <w:color w:val="0A1428"/>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E6FA8"/>
      <w:sz w:val="25"/>
      <w:szCs w:val="25"/>
    </w:rPr>
  </w:style>
  <w:style w:type="paragraph" w:styleId="Heading3">
    <w:name w:val="Heading 3"/>
    <w:basedOn w:val="Normal"/>
    <w:next w:val="Normal"/>
    <w:qFormat/>
    <w:pPr>
      <w:spacing w:after="80" w:before="140"/>
      <w:outlineLvl w:val="2"/>
    </w:pPr>
    <w:rPr>
      <w:rFonts w:ascii="Arial" w:cs="Arial" w:eastAsia="Arial" w:hAnsi="Arial"/>
      <w:b/>
      <w:bCs/>
      <w:color w:val="B58A1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d96c1741c13fb4c90375977998dfff0381b35f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2026-06-26T00:21:51.396Z</dcterms:created>
  <dcterms:modified xsi:type="dcterms:W3CDTF">2026-06-26T00:21:51.409Z</dcterms:modified>
</cp:coreProperties>
</file>

<file path=docProps/custom.xml><?xml version="1.0" encoding="utf-8"?>
<Properties xmlns="http://schemas.openxmlformats.org/officeDocument/2006/custom-properties" xmlns:vt="http://schemas.openxmlformats.org/officeDocument/2006/docPropsVTypes"/>
</file>