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428750"/>
                    </a:xfrm>
                    <a:prstGeom prst="rect">
                      <a:avLst/>
                    </a:prstGeom>
                  </pic:spPr>
                </pic:pic>
              </a:graphicData>
            </a:graphic>
          </wp:inline>
        </w:drawing>
      </w:r>
    </w:p>
    <w:p>
      <w:pPr>
        <w:spacing w:after="80"/>
        <w:jc w:val="center"/>
      </w:pPr>
      <w:r>
        <w:rPr>
          <w:b/>
          <w:bCs/>
          <w:color w:val="0A1428"/>
          <w:sz w:val="56"/>
          <w:szCs w:val="56"/>
        </w:rPr>
        <w:t xml:space="preserve">UrbanSynapse AI</w:t>
      </w:r>
    </w:p>
    <w:p>
      <w:pPr>
        <w:spacing w:after="60"/>
        <w:jc w:val="center"/>
      </w:pPr>
      <w:r>
        <w:rPr>
          <w:color w:val="1E6FA8"/>
          <w:sz w:val="28"/>
          <w:szCs w:val="28"/>
        </w:rPr>
        <w:t xml:space="preserve">Cahier des charges scientifique et fonctionnel</w:t>
      </w:r>
    </w:p>
    <w:p>
      <w:pPr>
        <w:spacing w:after="600"/>
        <w:jc w:val="center"/>
      </w:pPr>
      <w:r>
        <w:rPr>
          <w:i/>
          <w:iCs/>
          <w:color w:val="555555"/>
          <w:sz w:val="22"/>
          <w:szCs w:val="22"/>
        </w:rPr>
        <w:t xml:space="preserve">Intelligence territoriale prédictive pour la planification urbaine durable</w:t>
      </w:r>
    </w:p>
    <w:p>
      <w:pPr>
        <w:jc w:val="center"/>
      </w:pPr>
      <w:r>
        <w:rPr>
          <w:color w:val="B58A1B"/>
          <w:sz w:val="20"/>
          <w:szCs w:val="20"/>
        </w:rPr>
        <w:t xml:space="preserve">Smart Cities  ·  Data  ·  Sustainability</w:t>
      </w:r>
    </w:p>
    <w:p>
      <w:pPr>
        <w:spacing w:before="1400"/>
        <w:jc w:val="center"/>
      </w:pPr>
      <w:r>
        <w:rPr>
          <w:color w:val="555555"/>
          <w:sz w:val="20"/>
          <w:szCs w:val="20"/>
        </w:rPr>
        <w:t xml:space="preserve">Version 1.0  —  Juin 2026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Contexte et problématique</w:t>
      </w:r>
    </w:p>
    <w:p>
      <w:pPr>
        <w:spacing w:after="120"/>
      </w:pPr>
      <w:r>
        <w:t xml:space="preserve">La planification urbaine en Algérie et plus largement dans les pays du Sud global repose sur des instruments réglementaires (PDAU, POS) et des études sectorielles qui demeurent largement descriptifs, fragmentés et peu prédictifs. Ces outils peinent à articuler les enjeux énergétiques, climatiques et territoriaux au sein d'une vision intégrée.</w:t>
      </w:r>
    </w:p>
    <w:p>
      <w:pPr>
        <w:spacing w:after="120"/>
      </w:pPr>
      <w:r>
        <w:t xml:space="preserve">Dans un contexte marqué par une croissance urbaine soutenue, une dépendance énergétique forte et une vulnérabilité climatique croissante, le besoin d'un outil d'aide à la décision capable d'anticiper les dynamiques territoriales devient stratégique.</w:t>
      </w:r>
    </w:p>
    <w:p>
      <w:pPr>
        <w:pStyle w:val="Heading2"/>
      </w:pPr>
      <w:r>
        <w:t xml:space="preserve">1.1 Constats</w:t>
      </w:r>
    </w:p>
    <w:p>
      <w:pPr>
        <w:pStyle w:val="ListParagraph"/>
        <w:numPr>
          <w:ilvl w:val="0"/>
          <w:numId w:val="2"/>
        </w:numPr>
      </w:pPr>
      <w:r>
        <w:t xml:space="preserve">Absence d'intégration de la rénovation énergétique du bâti existant dans la planification territoriale.</w:t>
      </w:r>
    </w:p>
    <w:p>
      <w:pPr>
        <w:pStyle w:val="ListParagraph"/>
        <w:numPr>
          <w:ilvl w:val="0"/>
          <w:numId w:val="2"/>
        </w:numPr>
      </w:pPr>
      <w:r>
        <w:t xml:space="preserve">Cloisonnement des données (urbanisme, énergie, risques, mobilité).</w:t>
      </w:r>
    </w:p>
    <w:p>
      <w:pPr>
        <w:pStyle w:val="ListParagraph"/>
        <w:numPr>
          <w:ilvl w:val="0"/>
          <w:numId w:val="2"/>
        </w:numPr>
      </w:pPr>
      <w:r>
        <w:t xml:space="preserve">Approche réactive plutôt que prédictive et préventive.</w:t>
      </w:r>
    </w:p>
    <w:p>
      <w:pPr>
        <w:pStyle w:val="ListParagraph"/>
        <w:numPr>
          <w:ilvl w:val="0"/>
          <w:numId w:val="2"/>
        </w:numPr>
      </w:pPr>
      <w:r>
        <w:t xml:space="preserve">Faible exploitation des capacités de l'IA et du SIG pour la simulation de scénarios.</w:t>
      </w:r>
    </w:p>
    <w:p>
      <w:pPr>
        <w:pStyle w:val="Heading1"/>
      </w:pPr>
      <w:r>
        <w:t xml:space="preserve">2. Objectifs</w:t>
      </w:r>
    </w:p>
    <w:p>
      <w:pPr>
        <w:pStyle w:val="Heading2"/>
      </w:pPr>
      <w:r>
        <w:t xml:space="preserve">2.1 Objectif général</w:t>
      </w:r>
    </w:p>
    <w:p>
      <w:pPr>
        <w:spacing w:after="120"/>
      </w:pPr>
      <w:r>
        <w:t xml:space="preserve">Concevoir une plateforme d'intelligence territoriale prédictive transformant la planification urbaine d'une approche descriptive et fragmentée vers une démarche prédictive, résiliente et performante.</w:t>
      </w:r>
    </w:p>
    <w:p>
      <w:pPr>
        <w:pStyle w:val="Heading2"/>
      </w:pPr>
      <w:r>
        <w:t xml:space="preserve">2.2 Objectifs spécifiques</w:t>
      </w:r>
    </w:p>
    <w:p>
      <w:pPr>
        <w:pStyle w:val="ListParagraph"/>
        <w:numPr>
          <w:ilvl w:val="0"/>
          <w:numId w:val="2"/>
        </w:numPr>
      </w:pPr>
      <w:r>
        <w:t xml:space="preserve">Intégrer SIG, modélisation multicritère, IA et simulation énergétique dans un cadre unifié.</w:t>
      </w:r>
    </w:p>
    <w:p>
      <w:pPr>
        <w:pStyle w:val="ListParagraph"/>
        <w:numPr>
          <w:ilvl w:val="0"/>
          <w:numId w:val="2"/>
        </w:numPr>
      </w:pPr>
      <w:r>
        <w:t xml:space="preserve">Permettre une analyse multi-échelles : territoire, quartier, bâtiment.</w:t>
      </w:r>
    </w:p>
    <w:p>
      <w:pPr>
        <w:pStyle w:val="ListParagraph"/>
        <w:numPr>
          <w:ilvl w:val="0"/>
          <w:numId w:val="2"/>
        </w:numPr>
      </w:pPr>
      <w:r>
        <w:t xml:space="preserve">Simuler et comparer des scénarios d'aménagement (durable, résilient, compact, mobilité verte).</w:t>
      </w:r>
    </w:p>
    <w:p>
      <w:pPr>
        <w:pStyle w:val="ListParagraph"/>
        <w:numPr>
          <w:ilvl w:val="0"/>
          <w:numId w:val="2"/>
        </w:numPr>
      </w:pPr>
      <w:r>
        <w:t xml:space="preserve">Évaluer la performance énergétique et l'impact de la rénovation du bâti existant.</w:t>
      </w:r>
    </w:p>
    <w:p>
      <w:pPr>
        <w:pStyle w:val="ListParagraph"/>
        <w:numPr>
          <w:ilvl w:val="0"/>
          <w:numId w:val="2"/>
        </w:numPr>
      </w:pPr>
      <w:r>
        <w:t xml:space="preserve">Cartographier les vulnérabilités climatiques et les risques naturels.</w:t>
      </w:r>
    </w:p>
    <w:p>
      <w:pPr>
        <w:pStyle w:val="ListParagraph"/>
        <w:numPr>
          <w:ilvl w:val="0"/>
          <w:numId w:val="2"/>
        </w:numPr>
      </w:pPr>
      <w:r>
        <w:t xml:space="preserve">Produire des indicateurs décisionnels lisibles pour les acteurs publics.</w:t>
      </w:r>
    </w:p>
    <w:p>
      <w:pPr>
        <w:pStyle w:val="Heading1"/>
      </w:pPr>
      <w:r>
        <w:t xml:space="preserve">3. Périmètre fonctionnel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Module</w:t>
            </w:r>
          </w:p>
        </w:tc>
        <w:tc>
          <w:tcPr>
            <w:tcW w:type="dxa" w:w="616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Finalité</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Tableau de bord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Synthèse des indicateurs clés territoriaux en temps réel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Analyse territoriale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Cartographie SIG multi-couches (occupation du sol, réseaux, risques)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Simulation urbaine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Construction et comparaison de scénarios prospectifs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Mobilité &amp; accessibilité</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Évaluation des flux et de l'accessibilité aux services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Résilience urbaine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Analyse des vulnérabilités climatiques et îlots de chaleur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 énergétique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Simulation de rénovation du bâti existant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Risques naturels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Évaluation inondation, séisme, feu de forêt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Rapports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Export de synthèses décisionnelles</w:t>
            </w:r>
          </w:p>
        </w:tc>
      </w:tr>
    </w:tbl>
    <w:p>
      <w:pPr>
        <w:pStyle w:val="Heading1"/>
      </w:pPr>
      <w:r>
        <w:t xml:space="preserve">4. Exigences fonctionnelles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rPr>
          <w:tblHeader/>
        </w:trPr>
        <w:tc>
          <w:tcPr>
            <w:tcW w:type="dxa" w:w="140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Réf.</w:t>
            </w:r>
          </w:p>
        </w:tc>
        <w:tc>
          <w:tcPr>
            <w:tcW w:type="dxa" w:w="540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Exigence</w:t>
            </w:r>
          </w:p>
        </w:tc>
        <w:tc>
          <w:tcPr>
            <w:tcW w:type="dxa" w:w="256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Priorité</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EF-01</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Visualiser les indicateurs territoriaux (énergie, résilience, CO₂, air)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EF-02</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Afficher des couches SIG superposables sur fond cartographique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EF-03</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Créer un scénario à partir de leviers paramétrables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EF-04</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Calculer une performance globale multicritère par scénario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EF-05</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Simuler la rénovation énergétique d'un bâtiment ou groupe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EF-06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Comparer plusieurs scénarios côte à côte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Moyenne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EF-07</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Estimer les émissions de CO₂ évitées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Moyenne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EF-08</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Gérer les rôles utilisateurs (admin, planner, analyst)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Moyenne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EF-09</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Exporter des rapports de synthèse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Basse</w:t>
            </w:r>
          </w:p>
        </w:tc>
      </w:tr>
    </w:tbl>
    <w:p>
      <w:pPr>
        <w:pStyle w:val="Heading1"/>
      </w:pPr>
      <w:r>
        <w:t xml:space="preserve">5. Exigences non fonctionnelles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Catégorie</w:t>
            </w:r>
          </w:p>
        </w:tc>
        <w:tc>
          <w:tcPr>
            <w:tcW w:type="dxa" w:w="676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Exigence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Réponse API &lt; 500 ms pour les requêtes courantes ; simulations lourdes asynchrones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Scalabilité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Architecture conteneurisée, montée en charge horizontale des workers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Sécurité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Authentification JWT, hachage bcrypt, contrôle par rôle, CORS restreint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Fiabilité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Tests automatisés (unitaires/intégration), intégration continue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Géospatial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Précision métrique via reprojection CRS algérien (EPSG:30729)</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Maintenabilité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modulaire, typage strict (Pydantic / TypeScript)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Portabilité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Déploiement reproductible via Docker Compose</w:t>
            </w:r>
          </w:p>
        </w:tc>
      </w:tr>
    </w:tbl>
    <w:p>
      <w:pPr>
        <w:pStyle w:val="Heading1"/>
      </w:pPr>
      <w:r>
        <w:t xml:space="preserve">6. Approche méthodologique et scientifique</w:t>
      </w:r>
    </w:p>
    <w:p>
      <w:pPr>
        <w:pStyle w:val="Heading2"/>
      </w:pPr>
      <w:r>
        <w:t xml:space="preserve">6.1 Modélisation multicritère</w:t>
      </w:r>
    </w:p>
    <w:p>
      <w:pPr>
        <w:spacing w:after="120"/>
      </w:pPr>
      <w:r>
        <w:t xml:space="preserve">L'évaluation territoriale repose sur une agrégation multicritère de type somme pondérée, normalisée sur une échelle 0-100. Les critères retenus (performance énergétique, résilience, qualité de l'air, surfaces vertes, mobilité, densité) et leurs pondérations sont calibrés pour le contexte urbain algérien, avec une extensibilité vers une pondération hiérarchique (AHP) paramétrable.</w:t>
      </w:r>
    </w:p>
    <w:p>
      <w:pPr>
        <w:pStyle w:val="Heading2"/>
      </w:pPr>
      <w:r>
        <w:t xml:space="preserve">6.2 Simulation énergétique</w:t>
      </w:r>
    </w:p>
    <w:p>
      <w:pPr>
        <w:spacing w:after="120"/>
      </w:pPr>
      <w:r>
        <w:t xml:space="preserve">La consommation de référence du bâti est estimée selon la classe énergétique (kWh/m²/an). Les mesures de rénovation (isolation, vitrage, systèmes CVC, photovoltaïque) sont appliquées de manière combinée afin de quantifier les gains énergétiques et la réduction d'empreinte carbone à l'échelle du bâtiment, du quartier et du territoire.</w:t>
      </w:r>
    </w:p>
    <w:p>
      <w:pPr>
        <w:pStyle w:val="Heading2"/>
      </w:pPr>
      <w:r>
        <w:t xml:space="preserve">6.3 Apprentissage automatique prédictif</w:t>
      </w:r>
    </w:p>
    <w:p>
      <w:pPr>
        <w:spacing w:after="120"/>
      </w:pPr>
      <w:r>
        <w:t xml:space="preserve">Des modèles de régression (XGBoost) sont entraînés sur des variables territoriales (densité, ratio d'espaces verts, âge moyen du bâti, score de classe énergétique, indice de mobilité, émissions de référence) pour prédire les indicateurs de performance. Les modèles sont versionnés et un mécanisme de repli heuristique garantit le fonctionnement avant disponibilité d'un modèle entraîné.</w:t>
      </w:r>
    </w:p>
    <w:p>
      <w:pPr>
        <w:pStyle w:val="Heading2"/>
      </w:pPr>
      <w:r>
        <w:t xml:space="preserve">6.4 Sources de calibration</w:t>
      </w:r>
    </w:p>
    <w:p>
      <w:pPr>
        <w:spacing w:after="120"/>
      </w:pPr>
      <w:r>
        <w:t xml:space="preserve">La calibration s'appuie sur les bilans énergétiques nationaux algériens (2019-2024), les rapports de transition énergétique, les statistiques sectorielles et les documents d'urbanisme (PDAU/POS) consolidés dans la base documentaire du projet.</w:t>
      </w:r>
    </w:p>
    <w:p>
      <w:pPr>
        <w:pStyle w:val="Heading1"/>
      </w:pPr>
      <w:r>
        <w:t xml:space="preserve">7.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Type de donnée</w:t>
            </w:r>
          </w:p>
        </w:tc>
        <w:tc>
          <w:tcPr>
            <w:tcW w:type="dxa" w:w="656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Géométries territoriales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Limites de wilayas, communes, zones, emprises bâties (GeoJSON/PostGIS)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Attributs énergétiques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Classe, consommation, année de construction du bâti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Indicateurs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 énergétique, résilience, qualité de l'air, CO₂</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Risques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Aléas inondation, séisme, feu de forêt, îlots de chaleur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Socio-économiques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Population, densité, occupation du sol</w:t>
            </w:r>
          </w:p>
        </w:tc>
      </w:tr>
    </w:tbl>
    <w:p>
      <w:pPr>
        <w:pStyle w:val="Heading1"/>
      </w:pPr>
      <w:r>
        <w:t xml:space="preserve">8. Indicateurs de performance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Indicateur</w:t>
            </w:r>
          </w:p>
        </w:tc>
        <w:tc>
          <w:tcPr>
            <w:tcW w:type="dxa" w:w="240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Unité</w:t>
            </w:r>
          </w:p>
        </w:tc>
        <w:tc>
          <w:tcPr>
            <w:tcW w:type="dxa" w:w="3560"/>
            <w:tcBorders>
              <w:top w:val="single" w:color="CCCCCC" w:sz="1"/>
              <w:left w:val="single" w:color="CCCCCC" w:sz="1"/>
              <w:bottom w:val="single" w:color="CCCCCC" w:sz="1"/>
              <w:right w:val="single" w:color="CCCCCC" w:sz="1"/>
            </w:tcBorders>
            <w:shd w:fill="1E6FA8" w:val="clear"/>
            <w:tcMar>
              <w:top w:type="dxa" w:w="80"/>
              <w:left w:type="dxa" w:w="120"/>
              <w:bottom w:type="dxa" w:w="80"/>
              <w:right w:type="dxa" w:w="120"/>
            </w:tcMar>
          </w:tcPr>
          <w:p>
            <w:r>
              <w:rPr>
                <w:b/>
                <w:bCs/>
                <w:color w:val="FFFFFF"/>
              </w:rPr>
              <w:t xml:space="preserve">Finalité</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 énergétique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Efficacité énergétique du territoire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Résilience territoriale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Capacité d'adaptation aux aléas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Émissions CO₂ évitées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tonnes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Impact climatique des scénarios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Qualité de l'air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indice /100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Santé environnementale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Surfaces vertes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Trame verte et confort thermique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Densité urbaine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ratio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Compacité du territoire</w:t>
            </w:r>
          </w:p>
        </w:tc>
      </w:tr>
    </w:tbl>
    <w:p>
      <w:pPr>
        <w:pStyle w:val="Heading1"/>
      </w:pPr>
      <w:r>
        <w:t xml:space="preserve">9. Livrables</w:t>
      </w:r>
    </w:p>
    <w:p>
      <w:pPr>
        <w:pStyle w:val="ListParagraph"/>
        <w:numPr>
          <w:ilvl w:val="0"/>
          <w:numId w:val="2"/>
        </w:numPr>
      </w:pPr>
      <w:r>
        <w:t xml:space="preserve">Plateforme web fonctionnelle (frontend + API + base PostGIS).</w:t>
      </w:r>
    </w:p>
    <w:p>
      <w:pPr>
        <w:pStyle w:val="ListParagraph"/>
        <w:numPr>
          <w:ilvl w:val="0"/>
          <w:numId w:val="2"/>
        </w:numPr>
      </w:pPr>
      <w:r>
        <w:t xml:space="preserve">Modèles ML entraînés et pipelines d'entraînement reproductibles.</w:t>
      </w:r>
    </w:p>
    <w:p>
      <w:pPr>
        <w:pStyle w:val="ListParagraph"/>
        <w:numPr>
          <w:ilvl w:val="0"/>
          <w:numId w:val="2"/>
        </w:numPr>
      </w:pPr>
      <w:r>
        <w:t xml:space="preserve">Documentation technique (architecture) et scientifique (présent cahier).</w:t>
      </w:r>
    </w:p>
    <w:p>
      <w:pPr>
        <w:pStyle w:val="ListParagraph"/>
        <w:numPr>
          <w:ilvl w:val="0"/>
          <w:numId w:val="2"/>
        </w:numPr>
      </w:pPr>
      <w:r>
        <w:t xml:space="preserve">Jeu de données géospatial structuré et migrations de base.</w:t>
      </w:r>
    </w:p>
    <w:p>
      <w:pPr>
        <w:pStyle w:val="ListParagraph"/>
        <w:numPr>
          <w:ilvl w:val="0"/>
          <w:numId w:val="2"/>
        </w:numPr>
      </w:pPr>
      <w:r>
        <w:t xml:space="preserve">Chaîne d'intégration continue et conteneurs de déploiement.</w:t>
      </w:r>
    </w:p>
    <w:p>
      <w:pPr>
        <w:pStyle w:val="Heading1"/>
      </w:pPr>
      <w:r>
        <w:t xml:space="preserve">10. Contraintes et limites</w:t>
      </w:r>
    </w:p>
    <w:p>
      <w:pPr>
        <w:pStyle w:val="ListParagraph"/>
        <w:numPr>
          <w:ilvl w:val="0"/>
          <w:numId w:val="2"/>
        </w:numPr>
      </w:pPr>
      <w:r>
        <w:t xml:space="preserve">Disponibilité et qualité hétérogène des données territoriales locales.</w:t>
      </w:r>
    </w:p>
    <w:p>
      <w:pPr>
        <w:pStyle w:val="ListParagraph"/>
        <w:numPr>
          <w:ilvl w:val="0"/>
          <w:numId w:val="2"/>
        </w:numPr>
      </w:pPr>
      <w:r>
        <w:t xml:space="preserve">Nécessité de calibrer les modèles sur des jeux de données régionaux.</w:t>
      </w:r>
    </w:p>
    <w:p>
      <w:pPr>
        <w:pStyle w:val="ListParagraph"/>
        <w:numPr>
          <w:ilvl w:val="0"/>
          <w:numId w:val="2"/>
        </w:numPr>
      </w:pPr>
      <w:r>
        <w:t xml:space="preserve">Les valeurs de référence énergétiques sont indicatives et à affiner localement.</w:t>
      </w:r>
    </w:p>
    <w:p>
      <w:pPr>
        <w:pStyle w:val="ListParagraph"/>
        <w:numPr>
          <w:ilvl w:val="0"/>
          <w:numId w:val="2"/>
        </w:numPr>
      </w:pPr>
      <w:r>
        <w:t xml:space="preserve">L'interopérabilité avec les systèmes existants (PDAU/POS) reste à formaliser.</w:t>
      </w:r>
    </w:p>
    <w:p>
      <w:pPr>
        <w:pStyle w:val="Heading1"/>
      </w:pPr>
      <w:r>
        <w:t xml:space="preserve">11. Perspectives</w:t>
      </w:r>
    </w:p>
    <w:p>
      <w:pPr>
        <w:pStyle w:val="ListParagraph"/>
        <w:numPr>
          <w:ilvl w:val="0"/>
          <w:numId w:val="2"/>
        </w:numPr>
      </w:pPr>
      <w:r>
        <w:t xml:space="preserve">Jumeaux numériques urbains 3D et intégration temps réel de capteurs IoT.</w:t>
      </w:r>
    </w:p>
    <w:p>
      <w:pPr>
        <w:pStyle w:val="ListParagraph"/>
        <w:numPr>
          <w:ilvl w:val="0"/>
          <w:numId w:val="2"/>
        </w:numPr>
      </w:pPr>
      <w:r>
        <w:t xml:space="preserve">Pondération AHP interactive et analyse de sensibilité des scénarios.</w:t>
      </w:r>
    </w:p>
    <w:p>
      <w:pPr>
        <w:pStyle w:val="ListParagraph"/>
        <w:numPr>
          <w:ilvl w:val="0"/>
          <w:numId w:val="2"/>
        </w:numPr>
      </w:pPr>
      <w:r>
        <w:t xml:space="preserve">Généralisation aux métropoles du Sud global et adaptation multilingue.</w:t>
      </w:r>
    </w:p>
    <w:p>
      <w:pPr>
        <w:pStyle w:val="ListParagraph"/>
        <w:numPr>
          <w:ilvl w:val="0"/>
          <w:numId w:val="2"/>
        </w:numPr>
      </w:pPr>
      <w:r>
        <w:t xml:space="preserve">Génération automatisée de rapports décisionnels destinés aux collectivités.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UrbanSynapse AI — Cahier des charges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6FA8" w:sz="6" w:space="4"/>
      </w:pBdr>
      <w:spacing w:after="160" w:before="280"/>
      <w:outlineLvl w:val="0"/>
    </w:pPr>
    <w:rPr>
      <w:rFonts w:ascii="Arial" w:cs="Arial" w:eastAsia="Arial" w:hAnsi="Arial"/>
      <w:b/>
      <w:bCs/>
      <w:color w:val="0A1428"/>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E6FA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d96c1741c13fb4c90375977998dfff0381b35f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2026-06-26T00:23:01.186Z</dcterms:created>
  <dcterms:modified xsi:type="dcterms:W3CDTF">2026-06-26T00:23:01.187Z</dcterms:modified>
</cp:coreProperties>
</file>

<file path=docProps/custom.xml><?xml version="1.0" encoding="utf-8"?>
<Properties xmlns="http://schemas.openxmlformats.org/officeDocument/2006/custom-properties" xmlns:vt="http://schemas.openxmlformats.org/officeDocument/2006/docPropsVTypes"/>
</file>