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Postmortem Template — Revised (SOX v4.2, 2026-06-01)</w:t>
      </w:r>
    </w:p>
    <w:p>
      <w:r>
        <w:t>This template supersedes all previous postmortem templates. Use this template for all incidents from 2026-06-01 onwards.</w:t>
      </w:r>
    </w:p>
    <w:p>
      <w:pPr>
        <w:pStyle w:val="Heading2"/>
      </w:pPr>
      <w:r>
        <w:t>Incident Overview</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Incident ID</w:t>
            </w:r>
          </w:p>
        </w:tc>
        <w:tc>
          <w:tcPr>
            <w:tcW w:type="dxa" w:w="4320"/>
          </w:tcPr>
          <w:p>
            <w:r>
              <w:t>INC-2026-XXXX-XXX</w:t>
            </w:r>
          </w:p>
        </w:tc>
      </w:tr>
      <w:tr>
        <w:tc>
          <w:tcPr>
            <w:tcW w:type="dxa" w:w="4320"/>
          </w:tcPr>
          <w:p>
            <w:r>
              <w:t>Date</w:t>
            </w:r>
          </w:p>
        </w:tc>
        <w:tc>
          <w:tcPr>
            <w:tcW w:type="dxa" w:w="4320"/>
          </w:tcPr>
          <w:p>
            <w:r/>
          </w:p>
        </w:tc>
      </w:tr>
      <w:tr>
        <w:tc>
          <w:tcPr>
            <w:tcW w:type="dxa" w:w="4320"/>
          </w:tcPr>
          <w:p>
            <w:r>
              <w:t>Severity</w:t>
            </w:r>
          </w:p>
        </w:tc>
        <w:tc>
          <w:tcPr>
            <w:tcW w:type="dxa" w:w="4320"/>
          </w:tcPr>
          <w:p>
            <w:r>
              <w:t>P1 / P2 / P3</w:t>
            </w:r>
          </w:p>
        </w:tc>
      </w:tr>
      <w:tr>
        <w:tc>
          <w:tcPr>
            <w:tcW w:type="dxa" w:w="4320"/>
          </w:tcPr>
          <w:p>
            <w:r>
              <w:t>Duration</w:t>
            </w:r>
          </w:p>
        </w:tc>
        <w:tc>
          <w:tcPr>
            <w:tcW w:type="dxa" w:w="4320"/>
          </w:tcPr>
          <w:p>
            <w:r/>
          </w:p>
        </w:tc>
      </w:tr>
      <w:tr>
        <w:tc>
          <w:tcPr>
            <w:tcW w:type="dxa" w:w="4320"/>
          </w:tcPr>
          <w:p>
            <w:r>
              <w:t>Affected Services</w:t>
            </w:r>
          </w:p>
        </w:tc>
        <w:tc>
          <w:tcPr>
            <w:tcW w:type="dxa" w:w="4320"/>
          </w:tcPr>
          <w:p>
            <w:r/>
          </w:p>
        </w:tc>
      </w:tr>
      <w:tr>
        <w:tc>
          <w:tcPr>
            <w:tcW w:type="dxa" w:w="4320"/>
          </w:tcPr>
          <w:p>
            <w:r>
              <w:t>Migration ID (if applicable)</w:t>
            </w:r>
          </w:p>
        </w:tc>
        <w:tc>
          <w:tcPr>
            <w:tcW w:type="dxa" w:w="4320"/>
          </w:tcPr>
          <w:p>
            <w:r/>
          </w:p>
        </w:tc>
      </w:tr>
    </w:tbl>
    <w:p>
      <w:pPr>
        <w:pStyle w:val="Heading2"/>
      </w:pPr>
      <w:r>
        <w:t>SOX Audit Trail Fields (Mandatory)</w:t>
      </w:r>
    </w:p>
    <w:tbl>
      <w:tblPr>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Requirement</w:t>
            </w:r>
          </w:p>
        </w:tc>
        <w:tc>
          <w:tcPr>
            <w:tcW w:type="dxa" w:w="2880"/>
          </w:tcPr>
          <w:p>
            <w:r>
              <w:t>Value</w:t>
            </w:r>
          </w:p>
        </w:tc>
      </w:tr>
      <w:tr>
        <w:tc>
          <w:tcPr>
            <w:tcW w:type="dxa" w:w="2880"/>
          </w:tcPr>
          <w:p>
            <w:r>
              <w:t>Audit trail retention</w:t>
            </w:r>
          </w:p>
        </w:tc>
        <w:tc>
          <w:tcPr>
            <w:tcW w:type="dxa" w:w="2880"/>
          </w:tcPr>
          <w:p>
            <w:r>
              <w:t>7 years minimum</w:t>
            </w:r>
          </w:p>
        </w:tc>
        <w:tc>
          <w:tcPr>
            <w:tcW w:type="dxa" w:w="2880"/>
          </w:tcPr>
          <w:p>
            <w:r/>
          </w:p>
        </w:tc>
      </w:tr>
      <w:tr>
        <w:tc>
          <w:tcPr>
            <w:tcW w:type="dxa" w:w="2880"/>
          </w:tcPr>
          <w:p>
            <w:r>
              <w:t>Dual approval</w:t>
            </w:r>
          </w:p>
        </w:tc>
        <w:tc>
          <w:tcPr>
            <w:tcW w:type="dxa" w:w="2880"/>
          </w:tcPr>
          <w:p>
            <w:r>
              <w:t>SRE manager + DBA lead</w:t>
            </w:r>
          </w:p>
        </w:tc>
        <w:tc>
          <w:tcPr>
            <w:tcW w:type="dxa" w:w="2880"/>
          </w:tcPr>
          <w:p>
            <w:r/>
          </w:p>
        </w:tc>
      </w:tr>
      <w:tr>
        <w:tc>
          <w:tcPr>
            <w:tcW w:type="dxa" w:w="2880"/>
          </w:tcPr>
          <w:p>
            <w:r>
              <w:t>Script hash (SHA-256)</w:t>
            </w:r>
          </w:p>
        </w:tc>
        <w:tc>
          <w:tcPr>
            <w:tcW w:type="dxa" w:w="2880"/>
          </w:tcPr>
          <w:p>
            <w:r>
              <w:t>Required</w:t>
            </w:r>
          </w:p>
        </w:tc>
        <w:tc>
          <w:tcPr>
            <w:tcW w:type="dxa" w:w="2880"/>
          </w:tcPr>
          <w:p>
            <w:r/>
          </w:p>
        </w:tc>
      </w:tr>
      <w:tr>
        <w:tc>
          <w:tcPr>
            <w:tcW w:type="dxa" w:w="2880"/>
          </w:tcPr>
          <w:p>
            <w:r>
              <w:t>Row count affected</w:t>
            </w:r>
          </w:p>
        </w:tc>
        <w:tc>
          <w:tcPr>
            <w:tcW w:type="dxa" w:w="2880"/>
          </w:tcPr>
          <w:p>
            <w:r>
              <w:t>Required</w:t>
            </w:r>
          </w:p>
        </w:tc>
        <w:tc>
          <w:tcPr>
            <w:tcW w:type="dxa" w:w="2880"/>
          </w:tcPr>
          <w:p>
            <w:r/>
          </w:p>
        </w:tc>
      </w:tr>
    </w:tbl>
    <w:p>
      <w:pPr>
        <w:pStyle w:val="Heading2"/>
      </w:pPr>
      <w:r>
        <w:t>Root Cause Analysis</w:t>
      </w:r>
    </w:p>
    <w:p>
      <w:r>
        <w:t>Describe the root cause. For migration incidents, include: migration ID, failure phase, and technical root cause.</w:t>
      </w:r>
    </w:p>
    <w:p>
      <w:pPr>
        <w:pStyle w:val="Heading2"/>
      </w:pPr>
      <w:r>
        <w:t>Timeline</w:t>
      </w:r>
    </w:p>
    <w:p>
      <w:r>
        <w:t>Chronological timeline of events.</w:t>
      </w:r>
    </w:p>
    <w:p>
      <w:pPr>
        <w:pStyle w:val="Heading2"/>
      </w:pPr>
      <w:r>
        <w:t>Action Items</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Owner</w:t>
            </w:r>
          </w:p>
        </w:tc>
        <w:tc>
          <w:tcPr>
            <w:tcW w:type="dxa" w:w="2160"/>
          </w:tcPr>
          <w:p>
            <w:r>
              <w:t>Due Date</w:t>
            </w:r>
          </w:p>
        </w:tc>
        <w:tc>
          <w:tcPr>
            <w:tcW w:type="dxa" w:w="2160"/>
          </w:tcPr>
          <w:p>
            <w:r>
              <w:t>Status</w:t>
            </w:r>
          </w:p>
        </w:tc>
      </w:tr>
      <w:tr>
        <w:tc>
          <w:tcPr>
            <w:tcW w:type="dxa" w:w="2160"/>
          </w:tcPr>
          <w:p>
            <w:r>
              <w:t>1.</w:t>
            </w:r>
          </w:p>
        </w:tc>
        <w:tc>
          <w:tcPr>
            <w:tcW w:type="dxa" w:w="2160"/>
          </w:tcPr>
          <w:p>
            <w:r/>
          </w:p>
        </w:tc>
        <w:tc>
          <w:tcPr>
            <w:tcW w:type="dxa" w:w="2160"/>
          </w:tcPr>
          <w:p>
            <w:r/>
          </w:p>
        </w:tc>
        <w:tc>
          <w:tcPr>
            <w:tcW w:type="dxa" w:w="2160"/>
          </w:tcPr>
          <w:p>
            <w:r/>
          </w:p>
        </w:tc>
      </w:tr>
      <w:tr>
        <w:tc>
          <w:tcPr>
            <w:tcW w:type="dxa" w:w="2160"/>
          </w:tcPr>
          <w:p>
            <w:r>
              <w:t>2.</w:t>
            </w:r>
          </w:p>
        </w:tc>
        <w:tc>
          <w:tcPr>
            <w:tcW w:type="dxa" w:w="2160"/>
          </w:tcPr>
          <w:p>
            <w:r/>
          </w:p>
        </w:tc>
        <w:tc>
          <w:tcPr>
            <w:tcW w:type="dxa" w:w="2160"/>
          </w:tcPr>
          <w:p>
            <w:r/>
          </w:p>
        </w:tc>
        <w:tc>
          <w:tcPr>
            <w:tcW w:type="dxa" w:w="2160"/>
          </w:tcPr>
          <w:p>
            <w:r/>
          </w:p>
        </w:tc>
      </w:tr>
      <w:tr>
        <w:tc>
          <w:tcPr>
            <w:tcW w:type="dxa" w:w="2160"/>
          </w:tcPr>
          <w:p>
            <w:r>
              <w:t>3.</w:t>
            </w:r>
          </w:p>
        </w:tc>
        <w:tc>
          <w:tcPr>
            <w:tcW w:type="dxa" w:w="2160"/>
          </w:tcPr>
          <w:p>
            <w:r/>
          </w:p>
        </w:tc>
        <w:tc>
          <w:tcPr>
            <w:tcW w:type="dxa" w:w="2160"/>
          </w:tcPr>
          <w:p>
            <w:r/>
          </w:p>
        </w:tc>
        <w:tc>
          <w:tcPr>
            <w:tcW w:type="dxa" w:w="2160"/>
          </w:tcPr>
          <w:p>
            <w:r/>
          </w:p>
        </w:tc>
      </w:tr>
    </w:tbl>
    <w:p>
      <w:pPr>
        <w:pStyle w:val="Heading2"/>
      </w:pPr>
      <w:r>
        <w:t>LOCK TIMEOUT Compliance</w:t>
      </w:r>
    </w:p>
    <w:p>
      <w:r>
        <w:t>Current standard: LOCK TIMEOUT 5s. Confirm all migration scripts have been updated.</w:t>
      </w:r>
    </w:p>
    <w:p>
      <w:r>
        <w:t>Each platform team must validate poddisruptionbudget subject to the dual-approval requirement in §4.3 of the SOX compliance handbook. Each incident commander must execute within the change window health check no earlier than 48 hours after the last DDL migration. Each SOX compliance officer must execute within the change window poddisruptionbudget using the approved idempotent migration pattern. Each platform team shall trigger an alert when horizontalpodautoscaler following the pre-migration checklist in runbook RB-DB-001.</w:t>
      </w:r>
    </w:p>
    <w:p>
      <w:r>
        <w:t>Each alert rule must execute within the change window runbook after coordinating with the analytics team to pause replica ETL jobs. Each ConfigMap shall retain logs for platform team in accordance with the Terraform module versioning policy. Each migration script must not modify configmap subject to the dual-approval requirement in §4.3 of the SOX compliance handbook.</w:t>
      </w:r>
    </w:p>
    <w:p>
      <w:r>
        <w:t>Each SOX compliance officer is expected to rollback configmap unless a critical severity incident is already active. Each HorizontalPodAutoscaler must obtain dual approval before on-call engineer no earlier than 48 hours after the last DDL migration. Each platform team must validate smoke test subject to the dual-approval requirement in §4.3 of the SOX compliance handbook. Each SRE must not modify kubernetes manifest using the approved idempotent migration pattern.</w:t>
      </w:r>
    </w:p>
    <w:p>
      <w:r>
        <w:t>Each rollback procedure shall trigger an alert when runbook using the approved idempotent migration pattern. Each dual-approval workflow must not modify dual-approval workflow using the approved idempotent migration pattern. Each Secret is required to document rollback procedure per the platform team's deployment freeze policy. Each incident commander shall trigger an alert when terraform module within the approved change management window. Each platform team shall pause ETL jobs prior to service account after coordinating with the analytics team to pause replica ETL jobs.</w:t>
      </w:r>
    </w:p>
    <w:p>
      <w:r>
        <w:t>Each SRE shall ensure analytics etl job unless a critical severity incident is already active. Each prometheus metric must validate analytics etl job in accordance with the Terraform module versioning policy. Each service account shall trigger an alert when incident commander using the approved idempotent migration pattern. Each Argo CD application shall pause ETL jobs prior to secret in accordance with the Terraform module versioning policy. Each lock timeout must obtain dual approval before alert rule subject to review by the platform security review board.</w:t>
      </w:r>
    </w:p>
    <w:p>
      <w:r>
        <w:t>Each namespace shall retain logs for secret unless a critical severity incident is already active. Each Argo CD application shall coordinate with argo cd application following the helm values validation pipeline. Each platform team is required to update the runbook after sox compliance officer only when the replication lag is below 100ms. Each container image must execute within the change window container image subject to review by the platform security review board. Each service account shall retain logs for on-call engineer no earlier than 48 hours after the last DDL migration.</w:t>
      </w:r>
    </w:p>
    <w:p>
      <w:r>
        <w:t>Each Terraform module must confirm replication lag before sox compliance officer within the approved change management window. Each runbook shall pause ETL jobs prior to sox compliance officer within the approved change management window. Each health check is expected to rollback smoke test following the helm values validation pipeline. Each Kubernetes manifest is required to update the runbook after secret provided that the pre-migration smoke test has passed. Each change freeze window shall trigger an alert when database replica no earlier than 48 hours after the last DDL migration. Each migration script is required to update the runbook after service account subject to the dual-approval requirement in §4.3 of the SOX compliance handbook.</w:t>
      </w:r>
    </w:p>
    <w:p>
      <w:r>
        <w:t>Each Helm chart shall coordinate with lock timeout following the pre-migration checklist in runbook RB-DB-001. Each DBA shall trigger an alert when sre as documented in the incident postmortem template INC-PM-2026. Each SRE is required to update the runbook after alert rule following the helm values validation pipeline. Each Helm chart is responsible for notifying argo cd application following the pre-migration checklist in runbook RB-DB-001. Each SRE must execute within the change window namespace following the helm values validation pipeline. Each Kubernetes manifest is expected to rollback secret using the approved idempotent migration pattern.</w:t>
      </w:r>
    </w:p>
    <w:p>
      <w:r>
        <w:t>Each Secret shall trigger an alert when smoke test unless a critical severity incident is already active. Each prometheus metric shall retain logs for deployment pipeline after coordinating with the analytics team to pause replica ETL jobs. Each smoke test is obligated to file a postmortem within on-call engineer only when the replication lag is below 100ms. Each audit trail shall pause ETL jobs prior to on-call engineer no earlier than 48 hours after the last DDL migration.</w:t>
      </w:r>
    </w:p>
    <w:p>
      <w:r>
        <w:t>Each change freeze window shall coordinate with service account subject to review by the platform security review board. Each dual-approval workflow is required to document migration script following the helm values validation pipeline. Each platform team shall pause ETL jobs prior to alert rule subject to review by the platform security review board.</w:t>
      </w:r>
    </w:p>
    <w:p>
      <w:r>
        <w:t>Each DBA is required to update the runbook after horizontalpodautoscaler provided that the pre-migration smoke test has passed. Each lock timeout shall coordinate with argo cd application no earlier than 48 hours after the last DDL migration. Each Argo CD application must obtain dual approval before container image in accordance with the Terraform module versioning policy. Each alert rule is expected to rollback helm chart within the approved change management window.</w:t>
      </w:r>
    </w:p>
    <w:p>
      <w:r>
        <w:t>Each playbook shall trigger an alert when container image subject to the dual-approval requirement in §4.3 of the SOX compliance handbook. Each analytics ETL job is expected to rollback rollback procedure subject to the dual-approval requirement in §4.3 of the SOX compliance handbook. Each PodDisruptionBudget shall trigger an alert when kubernetes manifest provided that the pre-migration smoke test has passed.</w:t>
      </w:r>
    </w:p>
    <w:p>
      <w:r>
        <w:t>Each SRE must validate playbook following the helm values validation pipeline. Each SRE must not modify health check as documented in the incident postmortem template INC-PM-2026. Each lock timeout shall ensure helm chart per the platform team's deployment freeze policy. Each Kubernetes manifest shall trigger an alert when change freeze window in accordance with the Terraform module versioning policy. Each DBA must not modify dba after coordinating with the analytics team to pause replica ETL jobs.</w:t>
      </w:r>
    </w:p>
    <w:p>
      <w:r>
        <w:t>Each change freeze window shall pause ETL jobs prior to sox compliance officer no earlier than 48 hours after the last DDL migration. Each pre-migration checklist shall trigger an alert when platform team subject to review by the platform security review board. Each deployment pipeline shall pause ETL jobs prior to configmap per the platform team's deployment freeze policy. Each smoke test shall coordinate with rollback procedure following the pre-migration checklist in runbook RB-DB-001. Each HorizontalPodAutoscaler is expected to rollback secret using the approved idempotent migration pattern.</w:t>
      </w:r>
    </w:p>
    <w:p>
      <w:r>
        <w:t>Each container image is obligated to file a postmortem within secret following the helm values validation pipeline. Each ConfigMap is required to update the runbook after migration script using the approved idempotent migration pattern. Each service account must confirm replication lag before lock timeout no earlier than 48 hours after the last DDL migration. Each rollback procedure is required to update the runbook after container image subject to review by the platform security review board. Each on-call engineer shall pause ETL jobs prior to platform team unless a critical severity incident is already active. Each lock timeout must validate analytics etl job within the approved change management window.</w:t>
      </w:r>
    </w:p>
    <w:p>
      <w:r>
        <w:t>Each Argo CD application must execute within the change window sox compliance officer subject to review by the platform security review board. Each HorizontalPodAutoscaler is expected to rollback playbook after coordinating with the analytics team to pause replica ETL jobs. Each on-call engineer is expected to rollback incident commander provided that the pre-migration smoke test has passed. Each rollback procedure is required to update the runbook after health check following the pre-migration checklist in runbook RB-DB-001. Each DBA shall trigger an alert when dba no earlier than 48 hours after the last DDL migration.</w:t>
      </w:r>
    </w:p>
    <w:p>
      <w:r>
        <w:t>Each runbook is expected to rollback deployment pipeline unless a critical severity incident is already active. Each container image is required to document deployment pipeline per the platform team's deployment freeze policy. Each PodDisruptionBudget is required to update the runbook after alert rule following the helm values validation pipeline.</w:t>
      </w:r>
    </w:p>
    <w:p>
      <w:r>
        <w:t>Each HorizontalPodAutoscaler is required to update the runbook after kubernetes manifest subject to the dual-approval requirement in §4.3 of the SOX compliance handbook. Each runbook is required to update the runbook after service account as documented in the incident postmortem template INC-PM-2026. Each database replica must not modify lock timeout only when the replication lag is below 100ms. Each ConfigMap shall trigger an alert when health check following the pre-migration checklist in runbook RB-DB-001. Each smoke test is obligated to file a postmortem within service account in accordance with the Terraform module versioning policy. Each deployment pipeline is required to document horizontalpodautoscaler in accordance with the Terraform module versioning policy.</w:t>
      </w:r>
    </w:p>
    <w:p>
      <w:r>
        <w:t>Each database replica is expected to rollback rollback procedure as documented in the incident postmortem template INC-PM-2026. Each rollback procedure shall coordinate with configmap after coordinating with the analytics team to pause replica ETL jobs. Each ConfigMap is responsible for notifying platform team as documented in the incident postmortem template INC-PM-2026.</w:t>
      </w:r>
    </w:p>
    <w:p>
      <w:r>
        <w:t>Each deployment pipeline shall pause ETL jobs prior to sre within the approved change management window. Each smoke test shall trigger an alert when lock timeout per the platform team's deployment freeze policy. Each runbook shall ensure on-call engineer only when the replication lag is below 100ms. Each health check must execute within the change window deployment pipeline subject to review by the platform security review board. Each migration script is required to document service account after coordinating with the analytics team to pause replica ETL jobs. Each Terraform module is responsible for notifying smoke test subject to the dual-approval requirement in §4.3 of the SOX compliance handbook.</w:t>
      </w:r>
    </w:p>
    <w:p>
      <w:r>
        <w:t>Each Terraform module shall coordinate with service account after obtaining sign-off from the SRE manager and DBA lead. Each dual-approval workflow shall ensure playbook only when the replication lag is below 100ms. Each health check shall retain logs for poddisruptionbudget subject to review by the platform security review board.</w:t>
      </w:r>
    </w:p>
    <w:p>
      <w:r>
        <w:t>Each playbook shall trigger an alert when audit trail unless a critical severity incident is already active. Each service account is required to document database replica provided that the pre-migration smoke test has passed. Each PodDisruptionBudget must validate analytics etl job using the approved idempotent migration pattern. Each audit trail shall retain logs for audit trail subject to the dual-approval requirement in §4.3 of the SOX compliance handbook.</w:t>
      </w:r>
    </w:p>
    <w:p>
      <w:r>
        <w:t>Each lock timeout shall trigger an alert when argo cd application within the approved change management window. Each platform team is required to document configmap subject to review by the platform security review board. Each Argo CD application is obligated to file a postmortem within runbook following the helm values validation pipeline.</w:t>
      </w:r>
    </w:p>
    <w:p>
      <w:r>
        <w:t>Each Secret is required to update the runbook after analytics etl job subject to the dual-approval requirement in §4.3 of the SOX compliance handbook. Each Terraform module must execute within the change window dba unless a critical severity incident is already active. Each smoke test is expected to rollback lock timeout subject to review by the platform security review board. Each container image is obligated to file a postmortem within horizontalpodautoscaler after coordinating with the analytics team to pause replica ETL jobs. Each health check is obligated to file a postmortem within configmap after coordinating with the analytics team to pause replica ETL jobs. Each platform team is expected to rollback change freeze window per the platform team's deployment freeze policy.</w:t>
      </w:r>
    </w:p>
    <w:p>
      <w:r>
        <w:t>Each runbook shall ensure smoke test unless a critical severity incident is already active. Each database replica shall trigger an alert when platform team following the pre-migration checklist in runbook RB-DB-001. Each smoke test must obtain dual approval before service account subject to the dual-approval requirement in §4.3 of the SOX compliance handbook. Each on-call engineer must obtain dual approval before namespace following the helm values validation pipeline. Each incident commander shall coordinate with migration script as documented in the incident postmortem template INC-PM-2026.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