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Inverted Pendulum Swingup Strategies — Internal Notes / 倒立摆 Swingup 策略 — 内部速记</w:t>
      </w:r>
    </w:p>
    <w:p>
      <w:pPr>
        <w:pStyle w:val="Heading2"/>
      </w:pPr>
      <w:r>
        <w:t>1. Energy shaping — 能量整形</w:t>
      </w:r>
    </w:p>
    <w:p>
      <w:r>
        <w:t>Use a Lyapunov-style energy function E = (1/2) J alpha_dot^2 + m g l (1 - cos alpha) and apply torque in the direction that pumps energy until E reaches the upright value.</w:t>
      </w:r>
    </w:p>
    <w:p>
      <w:r>
        <w:t>公式：E = (1/2) J α' ^2 + m g l (1 - cos α)；策略：施加电压使 E 趋近顶端能量参考值。</w:t>
      </w:r>
    </w:p>
    <w:p>
      <w:pPr>
        <w:pStyle w:val="Heading2"/>
      </w:pPr>
      <w:r>
        <w:t>2. Curriculum design — 课程化训练</w:t>
      </w:r>
    </w:p>
    <w:p>
      <w:r>
        <w:t>Stage 1 trains balance only; Stage 2 widens the initial-angle distribution and rewards reaching the upright. The transition threshold is the key hyperparameter (0.7 in v3, 0.8 in v4 — see policies/v4).</w:t>
      </w:r>
    </w:p>
    <w:p>
      <w:r>
        <w:t>阶段 1 仅训练顶端附近的平衡；阶段 2 才把初始角度分布展开，奖励到达顶端。阈值升到 0.8 可能让 stage-2 在 stage-1 还不够稳健时启动，是 v4 失稳的可能诱因。</w:t>
      </w:r>
    </w:p>
    <w:p>
      <w:pPr>
        <w:pStyle w:val="Heading2"/>
      </w:pPr>
      <w:r>
        <w:t>3. Reward shaping pitfalls — 奖励整形的常见陷阱</w:t>
      </w:r>
    </w:p>
    <w:p>
      <w:r>
        <w:t>Adding a distance-to-upright bonus can shortcut the policy into oscillating near upright without actually swinging up — a reward hack.</w:t>
      </w:r>
    </w:p>
    <w:p>
      <w:r>
        <w:t>把'与顶端距离'加进奖励容易让 policy 学到'近似顶端来回晃'而非真正 swing up，属于 reward hack。</w:t>
      </w:r>
    </w:p>
    <w:p>
      <w:pPr>
        <w:pStyle w:val="Heading2"/>
      </w:pPr>
      <w:r>
        <w:t>4. Variance diagnostics — 方差诊断</w:t>
      </w:r>
    </w:p>
    <w:p>
      <w:r>
        <w:t>When end-of-curriculum variance jumps above ~45 reward-units std, it is usually a sign of distributional drift across seeds rather than noise; investigate seed-specific failures.</w:t>
      </w:r>
    </w:p>
    <w:p>
      <w:r>
        <w:t>训练末段 variance 超过 45 通常意味着跨 seed 分布漂移，而非纯噪声。</w:t>
      </w:r>
    </w:p>
    <w:p>
      <w:pPr>
        <w:pStyle w:val="Heading2"/>
      </w:pPr>
      <w:r>
        <w:t>5. Conclusion — 结语</w:t>
      </w:r>
    </w:p>
    <w:p>
      <w:r>
        <w:t>Production policies must show stable swingup success rate ≥ 0.95 across ≥ 5 seeds before merging to main.</w:t>
      </w:r>
    </w:p>
    <w:p>
      <w:r>
        <w:t>Production policy 合并到 main 前，必须在 ≥ 5 个种子上跑出 ≥ 0.95 的 swingup 成功率。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