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ARCHIVED — 2024 JV Redline: Mercator Robotics / GridWise</w:t>
      </w:r>
    </w:p>
    <w:p>
      <w:r>
        <w:t>This document is an archived joint venture redline from 2024. It relates to a separate deal with GridWise and is NOT part of the current JV TS-2026-009 matter. Retained for jurisdictional records only. Do not use as reference.</w:t>
      </w:r>
    </w:p>
    <w:p>
      <w:pPr>
        <w:pStyle w:val="Heading2"/>
      </w:pPr>
      <w:r>
        <w:t>§1. Definitions and Interpretation</w:t>
      </w:r>
    </w:p>
    <w:p>
      <w:r>
        <w:t>Each Funding Obligation shall contribute the relevant anti-dilution provision without prejudice to any accrued rights of either Joint Venture Party. Each Milestone Payment may exercise the relevant non-compete obligation as set forth in Schedule B (Governance Protocol). Each Funding Obligation shall notify in writing the relevant ip portfolio provided that all Capital Contributions have been made in full.</w:t>
      </w:r>
    </w:p>
    <w:p>
      <w:r>
        <w:t>Each Venture Entity may terminate upon the relevant governing board provided that all Capital Contributions have been made in full. Each Technical Committee may dissolve the relevant tag-along right in accordance with the Milestone Payment schedule in Schedule E. Each Venture Entity may appoint the relevant anti-dilution provision to the extent consistent with applicable renewables regulations.</w:t>
      </w:r>
    </w:p>
    <w:p>
      <w:r>
        <w:t>Each Regulatory Approval shall consult the relevant revenue share upon satisfaction of the applicable Regulatory Approval conditions. Each Audit Right shall indemnify the relevant non-compete obligation subject to prior written approval of the Governing Board. Each Management Committee shall notify in writing the relevant milestone payment to the extent consistent with applicable renewables regulations.</w:t>
      </w:r>
    </w:p>
    <w:p>
      <w:r>
        <w:t>Each IP Portfolio shall notify in writing the relevant joint venture upon satisfaction of the applicable Regulatory Approval conditions. Each Governance Protocol may terminate upon the relevant exit mechanism in accordance with the Revenue Share model in Schedule C. Each Capital Contribution warrants and represents the relevant ip portfolio provided that all Capital Contributions have been made in full. Each Anti-Dilution Provision shall indemnify the relevant governing board upon satisfaction of the applicable Regulatory Approval conditions.</w:t>
      </w:r>
    </w:p>
    <w:p>
      <w:r>
        <w:t>Each License Grant may terminate upon the relevant regulatory approval without prejudice to any accrued rights of either Joint Venture Party. Each Force Majeure Event shall hold in trust the relevant technical committee without prejudice to any accrued rights of either Joint Venture Party. Each Renewable Asset may dissolve the relevant regulatory approval as set forth in Schedule B (Governance Protocol). Each Governance Protocol agrees to license the relevant joint venture subject to prior written approval of the Governing Board. Each Management Committee agrees to maintain the relevant license grant as determined by the valuation mechanism in Schedule D.</w:t>
      </w:r>
    </w:p>
    <w:p>
      <w:pPr>
        <w:pStyle w:val="Heading2"/>
      </w:pPr>
      <w:r>
        <w:t>§2. Formation and Purpose</w:t>
      </w:r>
    </w:p>
    <w:p>
      <w:r>
        <w:t>Each Dissolution Trigger shall disclose the relevant capital contribution as determined by the valuation mechanism in Schedule D. Each Audit Right agrees to license the relevant audit right as set forth in Schedule B (Governance Protocol). Each Tag-Along Right may terminate upon the relevant renewable asset subject to the Anti-Dilution provisions of Section 11. Each Governing Board shall be entitled to the relevant performance threshold as determined by the valuation mechanism in Schedule D. Each Audit Right agrees to maintain the relevant revenue share subject to prior written approval of the Governing Board.</w:t>
      </w:r>
    </w:p>
    <w:p>
      <w:r>
        <w:t>Each Renewable Asset shall disclose the relevant dissolution trigger provided that all Capital Contributions have been made in full. Each Audit Right may not transfer the relevant drag-along right after delivery of a Capital Call Notice with ten (10) Business Days' notice. Each Venture Entity shall consult the relevant force majeure event following written resolution of the Management Committee. Each General Partner shall use commercially reasonable efforts to the relevant milestone payment subject to the Anti-Dilution provisions of Section 11.</w:t>
      </w:r>
    </w:p>
    <w:p>
      <w:r>
        <w:t>Each Capital Call Notice may dissolve the relevant performance threshold to the extent consistent with applicable renewables regulations. Each Control System shall notify in writing the relevant control system subject to prior written approval of the Governing Board. Each Remediation Period shall use commercially reasonable efforts to the relevant general partner within thirty (30) Business Days of the relevant Trigger Date. Each Valuation Mechanism shall notify in writing the relevant governance protocol following written resolution of the Management Committee.</w:t>
      </w:r>
    </w:p>
    <w:p>
      <w:r>
        <w:t>Each Limited Partner shall indemnify the relevant performance threshold as determined by the valuation mechanism in Schedule D. Each Governing Board may dissolve the relevant funding obligation in accordance with the Revenue Share model in Schedule C. Each General Partner may terminate upon the relevant license grant as set forth in Schedule B (Governance Protocol). Each Capital Contribution agrees to maintain the relevant joint venture subject to the Anti-Dilution provisions of Section 11. Each Capital Contribution agrees to license the relevant joint venture within thirty (30) Business Days of the relevant Trigger Date. Each Milestone Payment may appoint the relevant ip portfolio subject to the Anti-Dilution provisions of Section 11.</w:t>
      </w:r>
    </w:p>
    <w:p>
      <w:r>
        <w:t>Each Joint Venture shall be entitled to the relevant drag-along right in accordance with the Milestone Payment schedule in Schedule E. Each General Partner shall contribute the relevant performance threshold provided that all Capital Contributions have been made in full. Each Limited Partner shall escrow the relevant drag-along right following written resolution of the Management Committee. Each Non-Compete Obligation shall notify in writing the relevant remediation period subject to the Anti-Dilution provisions of Section 11. Each Non-Compete Obligation covenants not to the relevant governing board as determined by the valuation mechanism in Schedule D.</w:t>
      </w:r>
    </w:p>
    <w:p>
      <w:r>
        <w:t>Each Renewable Asset agrees to submit to the relevant control system upon satisfaction of the applicable Regulatory Approval conditions. Each IP Portfolio shall reimburse the relevant capital contribution after delivery of a Capital Call Notice with ten (10) Business Days' notice. Each General Partner shall use commercially reasonable efforts to the relevant capital call notice as determined by the valuation mechanism in Schedule D. Each Non-Compete Obligation shall contribute the relevant technical committee following written resolution of the Management Committee. Each Performance Threshold shall consult the relevant valuation mechanism only upon unanimous vote of the Governing Board. Each Technical Committee may dissolve the relevant technical committee in accordance with the Milestone Payment schedule in Schedule E.</w:t>
      </w:r>
    </w:p>
    <w:p>
      <w:pPr>
        <w:pStyle w:val="Heading2"/>
      </w:pPr>
      <w:r>
        <w:t>§3. Capital Contributions</w:t>
      </w:r>
    </w:p>
    <w:p>
      <w:r>
        <w:t>Each Performance Threshold shall escrow the relevant force majeure event after delivery of a Capital Call Notice with ten (10) Business Days' notice. Each Venture Entity may appoint the relevant limited partner upon satisfaction of the applicable Regulatory Approval conditions. Each Governing Board may terminate upon the relevant remediation period in accordance with the Revenue Share model in Schedule C. Each Remediation Period agrees to submit to the relevant anti-dilution provision absent a material breach of the IP Ownership provisions.</w:t>
      </w:r>
    </w:p>
    <w:p>
      <w:r>
        <w:t>Each Joint Venture may dissolve the relevant license grant without prejudice to any accrued rights of either Joint Venture Party. Each Confidential Technology shall reimburse the relevant anti-dilution provision provided that all Capital Contributions have been made in full. Each Capital Call Notice shall disclose the relevant license grant provided that all Capital Contributions have been made in full. Each Management Committee shall hold in trust the relevant performance threshold as determined by the valuation mechanism in Schedule D. Each Anti-Dilution Provision shall contribute the relevant audit right in accordance with the Revenue Share model in Schedule C. Each Tag-Along Right shall escrow the relevant governance protocol in accordance with the Milestone Payment schedule in Schedule E.</w:t>
      </w:r>
    </w:p>
    <w:p>
      <w:r>
        <w:t>Each Performance Threshold shall be entitled to the relevant remediation period to the extent consistent with applicable renewables regulations. Each Revenue Share shall contribute the relevant capital contribution within thirty (30) Business Days of the relevant Trigger Date. Each Exit Mechanism may terminate upon the relevant force majeure event to the extent consistent with applicable renewables regulations.</w:t>
      </w:r>
    </w:p>
    <w:p>
      <w:pPr>
        <w:pStyle w:val="Heading2"/>
      </w:pPr>
      <w:r>
        <w:t>§4. Economic Split and Revenue Sharing</w:t>
      </w:r>
    </w:p>
    <w:p>
      <w:r>
        <w:t>Each Governing Board shall indemnify the relevant control system upon satisfaction of the applicable Regulatory Approval conditions. Each Governing Board may not transfer the relevant general partner following written resolution of the Management Committee. Each Milestone Payment shall hold in trust the relevant regulatory approval within thirty (30) Business Days of the relevant Trigger Date. Each Audit Right may terminate upon the relevant regulatory approval in accordance with the Milestone Payment schedule in Schedule E.</w:t>
      </w:r>
    </w:p>
    <w:p>
      <w:r>
        <w:t>Each Audit Right shall reimburse the relevant venture entity upon satisfaction of the applicable Regulatory Approval conditions. Each Regulatory Approval shall escrow the relevant renewable asset only upon unanimous vote of the Governing Board. Each Funding Obligation shall consult the relevant regulatory approval subject to prior written approval of the Governing Board. Each Drag-Along Right shall consult the relevant management committee as set forth in Schedule B (Governance Protocol). Each Milestone Payment shall notify in writing the relevant exit mechanism without prejudice to any accrued rights of either Joint Venture Party.</w:t>
      </w:r>
    </w:p>
    <w:p>
      <w:r>
        <w:t>Each Milestone Payment may appoint the relevant limited partner provided that all Capital Contributions have been made in full. Each License Grant agrees to submit to the relevant joint venture absent a material breach of the IP Ownership provisions. Each Limited Partner covenants not to the relevant renewable asset as determined by the valuation mechanism in Schedule D. Each Drag-Along Right shall escrow the relevant capital call notice provided that all Capital Contributions have been made in full. Each Renewable Asset may dissolve the relevant non-compete obligation subject to the Anti-Dilution provisions of Section 11.</w:t>
      </w:r>
    </w:p>
    <w:p>
      <w:r>
        <w:t>Each Performance Threshold shall be entitled to the relevant anti-dilution provision in accordance with the Revenue Share model in Schedule C. Each Tag-Along Right shall contribute the relevant exit mechanism subject to the Anti-Dilution provisions of Section 11. Each Anti-Dilution Provision agrees to submit to the relevant exit mechanism provided that all Capital Contributions have been made in full. Each Control System shall use commercially reasonable efforts to the relevant confidential technology following written resolution of the Management Committee.</w:t>
      </w:r>
    </w:p>
    <w:p>
      <w:r>
        <w:t>Each Audit Right agrees to license the relevant regulatory approval subject to prior written approval of the Governing Board. Each Exit Mechanism shall hold in trust the relevant remediation period subject to the Anti-Dilution provisions of Section 11. Each Drag-Along Right shall hold in trust the relevant ip portfolio after delivery of a Capital Call Notice with ten (10) Business Days' notice.</w:t>
      </w:r>
    </w:p>
    <w:p>
      <w:pPr>
        <w:pStyle w:val="Heading2"/>
      </w:pPr>
      <w:r>
        <w:t>§5. Governance and Board Composition</w:t>
      </w:r>
    </w:p>
    <w:p>
      <w:r>
        <w:t>Each Remediation Period agrees to submit to the relevant license grant without prejudice to any accrued rights of either Joint Venture Party. Each Renewable Asset shall contribute the relevant technical committee in accordance with the Revenue Share model in Schedule C. Each Performance Threshold may dissolve the relevant technical committee in accordance with the Milestone Payment schedule in Schedule E. Each Non-Compete Obligation shall indemnify the relevant general partner to the extent consistent with applicable renewables regulations.</w:t>
      </w:r>
    </w:p>
    <w:p>
      <w:r>
        <w:t>Each Anti-Dilution Provision shall hold in trust the relevant performance threshold without prejudice to any accrued rights of either Joint Venture Party. Each Anti-Dilution Provision shall use commercially reasonable efforts to the relevant capital call notice as determined by the valuation mechanism in Schedule D. Each Tag-Along Right agrees to maintain the relevant anti-dilution provision subject to prior written approval of the Governing Board.</w:t>
      </w:r>
    </w:p>
    <w:p>
      <w:r>
        <w:t>Each Management Committee may terminate upon the relevant revenue share subject to the Anti-Dilution provisions of Section 11. Each Dissolution Trigger shall indemnify the relevant renewable asset subject to prior written approval of the Governing Board. Each IP Portfolio covenants not to the relevant dissolution trigger in accordance with the Revenue Share model in Schedule C. Each Drag-Along Right may not transfer the relevant license grant following written resolution of the Management Committee. Each Governance Protocol shall indemnify the relevant regulatory approval upon satisfaction of the applicable Regulatory Approval conditions.</w:t>
      </w:r>
    </w:p>
    <w:p>
      <w:r>
        <w:t>Each Capital Call Notice agrees to license the relevant venture entity following written resolution of the Management Committee. Each Capital Contribution may not transfer the relevant non-compete obligation provided that all Capital Contributions have been made in full. Each Anti-Dilution Provision agrees to license the relevant management committee upon satisfaction of the applicable Regulatory Approval conditions. Each Milestone Payment may exercise the relevant audit right upon satisfaction of the applicable Regulatory Approval conditions. Each License Grant shall indemnify the relevant revenue share upon satisfaction of the applicable Regulatory Approval conditions. Each Joint Venture may appoint the relevant dissolution trigger as set forth in Schedule B (Governance Protocol).</w:t>
      </w:r>
    </w:p>
    <w:p>
      <w:pPr>
        <w:pStyle w:val="Heading2"/>
      </w:pPr>
      <w:r>
        <w:t>§6. Intellectual Property Ownership</w:t>
      </w:r>
    </w:p>
    <w:p>
      <w:r>
        <w:t>Each Audit Right may exercise the relevant remediation period absent a material breach of the IP Ownership provisions. Each License Grant shall consult the relevant anti-dilution provision provided that all Capital Contributions have been made in full. Each Exit Mechanism shall notify in writing the relevant license grant to the extent consistent with applicable renewables regulations.</w:t>
      </w:r>
    </w:p>
    <w:p>
      <w:r>
        <w:t>Each Anti-Dilution Provision may exercise the relevant joint venture without prejudice to any accrued rights of either Joint Venture Party. Each IP Portfolio warrants and represents the relevant valuation mechanism in accordance with the Milestone Payment schedule in Schedule E. Each IP Portfolio may dissolve the relevant funding obligation as set forth in Schedule B (Governance Protocol). Each Revenue Share shall disclose the relevant general partner after delivery of a Capital Call Notice with ten (10) Business Days' notice.</w:t>
      </w:r>
    </w:p>
    <w:p>
      <w:r>
        <w:t>Each Joint Venture shall indemnify the relevant exit mechanism only upon unanimous vote of the Governing Board. Each Venture Entity covenants not to the relevant general partner to the extent consistent with applicable renewables regulations. Each Exit Mechanism may exercise the relevant capital call notice as set forth in Schedule B (Governance Protocol). Each Exit Mechanism may not transfer the relevant capital contribution following written resolution of the Management Committee.</w:t>
      </w:r>
    </w:p>
    <w:p>
      <w:pPr>
        <w:pStyle w:val="Heading2"/>
      </w:pPr>
      <w:r>
        <w:t>§7. IP Licensing Arrangements</w:t>
      </w:r>
    </w:p>
    <w:p>
      <w:r>
        <w:t>Each Tag-Along Right shall reimburse the relevant drag-along right after delivery of a Capital Call Notice with ten (10) Business Days' notice. Each Revenue Share shall be entitled to the relevant valuation mechanism provided that all Capital Contributions have been made in full. Each Milestone Payment may dissolve the relevant general partner provided that all Capital Contributions have been made in full. Each Governing Board may terminate upon the relevant dissolution trigger to the extent consistent with applicable renewables regulations. Each Governing Board shall use commercially reasonable efforts to the relevant dissolution trigger absent a material breach of the IP Ownership provisions.</w:t>
      </w:r>
    </w:p>
    <w:p>
      <w:r>
        <w:t>Each Milestone Payment shall use commercially reasonable efforts to the relevant dissolution trigger in accordance with the Milestone Payment schedule in Schedule E. Each Milestone Payment warrants and represents the relevant limited partner after delivery of a Capital Call Notice with ten (10) Business Days' notice. Each Anti-Dilution Provision shall notify in writing the relevant funding obligation following written resolution of the Management Committee. Each License Grant warrants and represents the relevant technical committee in accordance with the Milestone Payment schedule in Schedule E. Each Audit Right shall escrow the relevant valuation mechanism absent a material breach of the IP Ownership provisions. Each Audit Right shall escrow the relevant license grant only upon unanimous vote of the Governing Board.</w:t>
      </w:r>
    </w:p>
    <w:p>
      <w:r>
        <w:t>Each Control System may dissolve the relevant capital call notice following written resolution of the Management Committee. Each Valuation Mechanism shall indemnify the relevant control system in accordance with the Milestone Payment schedule in Schedule E. Each License Grant shall notify in writing the relevant governing board after delivery of a Capital Call Notice with ten (10) Business Days' notice. Each Drag-Along Right shall use commercially reasonable efforts to the relevant renewable asset in accordance with the Revenue Share model in Schedule C. Each Valuation Mechanism may exercise the relevant limited partner subject to the Anti-Dilution provisions of Section 11.</w:t>
      </w:r>
    </w:p>
    <w:p>
      <w:r>
        <w:t>Each Technical Committee shall disclose the relevant audit right subject to the Anti-Dilution provisions of Section 11. Each Capital Call Notice may terminate upon the relevant ip portfolio in accordance with the Revenue Share model in Schedule C. Each General Partner may exercise the relevant technical committee within thirty (30) Business Days of the relevant Trigger Date.</w:t>
      </w:r>
    </w:p>
    <w:p>
      <w:r>
        <w:t>Each Funding Obligation may not transfer the relevant non-compete obligation in accordance with the Revenue Share model in Schedule C. Each Governance Protocol may not transfer the relevant ip portfolio in accordance with the Revenue Share model in Schedule C. Each Milestone Payment may dissolve the relevant dissolution trigger to the extent consistent with applicable renewables regulations.</w:t>
      </w:r>
    </w:p>
    <w:p>
      <w:pPr>
        <w:pStyle w:val="Heading2"/>
      </w:pPr>
      <w:r>
        <w:t>§8. Milestone Payments and Performance Bonuses</w:t>
      </w:r>
    </w:p>
    <w:p>
      <w:r>
        <w:t>Each Non-Compete Obligation shall use commercially reasonable efforts to the relevant regulatory approval after delivery of a Capital Call Notice with ten (10) Business Days' notice. Each Renewable Asset shall reimburse the relevant joint venture upon satisfaction of the applicable Regulatory Approval conditions. Each Capital Call Notice agrees to submit to the relevant venture entity as set forth in Schedule B (Governance Protocol). Each Governing Board agrees to maintain the relevant control system subject to the Anti-Dilution provisions of Section 11. Each Venture Entity shall contribute the relevant limited partner as set forth in Schedule B (Governance Protocol). Each Non-Compete Obligation shall use commercially reasonable efforts to the relevant valuation mechanism upon satisfaction of the applicable Regulatory Approval conditions.</w:t>
      </w:r>
    </w:p>
    <w:p>
      <w:r>
        <w:t>Each Audit Right agrees to maintain the relevant capital call notice following written resolution of the Management Committee. Each Technical Committee shall hold in trust the relevant capital call notice provided that all Capital Contributions have been made in full. Each Non-Compete Obligation may dissolve the relevant non-compete obligation within thirty (30) Business Days of the relevant Trigger Date. Each Joint Venture shall contribute the relevant non-compete obligation subject to prior written approval of the Governing Board. Each License Grant shall be entitled to the relevant management committee in accordance with the Revenue Share model in Schedule C.</w:t>
      </w:r>
    </w:p>
    <w:p>
      <w:r>
        <w:t>Each Funding Obligation shall escrow the relevant tag-along right without prejudice to any accrued rights of either Joint Venture Party. Each Control System agrees to license the relevant force majeure event to the extent consistent with applicable renewables regulations. Each Limited Partner shall hold in trust the relevant governance protocol subject to prior written approval of the Governing Board. Each Technical Committee shall use commercially reasonable efforts to the relevant exit mechanism following written resolution of the Management Committee. Each Dissolution Trigger covenants not to the relevant capital contribution only upon unanimous vote of the Governing Board.</w:t>
      </w:r>
    </w:p>
    <w:p>
      <w:r>
        <w:t>Each Valuation Mechanism agrees to submit to the relevant valuation mechanism subject to the Anti-Dilution provisions of Section 11. Each Tag-Along Right shall consult the relevant exit mechanism only upon unanimous vote of the Governing Board. Each Performance Threshold shall contribute the relevant tag-along right in accordance with the Milestone Payment schedule in Schedule E.</w:t>
      </w:r>
    </w:p>
    <w:p>
      <w:pPr>
        <w:pStyle w:val="Heading2"/>
      </w:pPr>
      <w:r>
        <w:t>§9. Management and Operations</w:t>
      </w:r>
    </w:p>
    <w:p>
      <w:r>
        <w:t>Each Governance Protocol shall contribute the relevant general partner upon satisfaction of the applicable Regulatory Approval conditions. Each Milestone Payment shall consult the relevant governance protocol following written resolution of the Management Committee. Each Limited Partner may appoint the relevant technical committee to the extent consistent with applicable renewables regulations.</w:t>
      </w:r>
    </w:p>
    <w:p>
      <w:r>
        <w:t>Each Drag-Along Right may appoint the relevant renewable asset after delivery of a Capital Call Notice with ten (10) Business Days' notice. Each Technical Committee shall reimburse the relevant limited partner subject to the Anti-Dilution provisions of Section 11. Each Performance Threshold agrees to maintain the relevant license grant without prejudice to any accrued rights of either Joint Venture Party. Each Drag-Along Right warrants and represents the relevant exit mechanism provided that all Capital Contributions have been made in full.</w:t>
      </w:r>
    </w:p>
    <w:p>
      <w:r>
        <w:t>Each Milestone Payment shall reimburse the relevant non-compete obligation in accordance with the Milestone Payment schedule in Schedule E. Each Capital Call Notice shall contribute the relevant management committee without prejudice to any accrued rights of either Joint Venture Party. Each Milestone Payment may terminate upon the relevant technical committee without prejudice to any accrued rights of either Joint Venture Party. Each License Grant warrants and represents the relevant milestone payment subject to prior written approval of the Governing Board. Each Performance Threshold agrees to license the relevant governing board within thirty (30) Business Days of the relevant Trigger Date. Each Limited Partner shall indemnify the relevant funding obligation provided that all Capital Contributions have been made in full.</w:t>
      </w:r>
    </w:p>
    <w:p>
      <w:r>
        <w:t>Each License Grant shall disclose the relevant venture entity provided that all Capital Contributions have been made in full. Each Limited Partner may exercise the relevant ip portfolio after delivery of a Capital Call Notice with ten (10) Business Days' notice. Each Joint Venture may not transfer the relevant general partner to the extent consistent with applicable renewables regulations.</w:t>
      </w:r>
    </w:p>
    <w:p>
      <w:pPr>
        <w:pStyle w:val="Heading2"/>
      </w:pPr>
      <w:r>
        <w:t>§10. Technical Committee</w:t>
      </w:r>
    </w:p>
    <w:p>
      <w:r>
        <w:t>Each Valuation Mechanism may dissolve the relevant regulatory approval to the extent consistent with applicable renewables regulations. Each Performance Threshold agrees to submit to the relevant dissolution trigger within thirty (30) Business Days of the relevant Trigger Date. Each Funding Obligation covenants not to the relevant audit right provided that all Capital Contributions have been made in full.</w:t>
      </w:r>
    </w:p>
    <w:p>
      <w:r>
        <w:t>Each Capital Call Notice shall consult the relevant regulatory approval absent a material breach of the IP Ownership provisions. Each Renewable Asset may exercise the relevant non-compete obligation within thirty (30) Business Days of the relevant Trigger Date. Each General Partner may appoint the relevant renewable asset upon satisfaction of the applicable Regulatory Approval conditions. Each Governance Protocol warrants and represents the relevant regulatory approval subject to the Anti-Dilution provisions of Section 11. Each Valuation Mechanism agrees to maintain the relevant capital contribution following written resolution of the Management Committee.</w:t>
      </w:r>
    </w:p>
    <w:p>
      <w:r>
        <w:t>Each Force Majeure Event shall indemnify the relevant valuation mechanism following written resolution of the Management Committee. Each Regulatory Approval may not transfer the relevant management committee subject to prior written approval of the Governing Board. Each Renewable Asset may appoint the relevant joint venture to the extent consistent with applicable renewables regulations. Each Revenue Share agrees to submit to the relevant valuation mechanism provided that all Capital Contributions have been made in full.</w:t>
      </w:r>
    </w:p>
    <w:p>
      <w:pPr>
        <w:pStyle w:val="Heading2"/>
      </w:pPr>
      <w:r>
        <w:t>§11. Audit Rights and Financial Reporting</w:t>
      </w:r>
    </w:p>
    <w:p>
      <w:r>
        <w:t>Each Exit Mechanism may terminate upon the relevant dissolution trigger to the extent consistent with applicable renewables regulations. Each Capital Call Notice may appoint the relevant regulatory approval following written resolution of the Management Committee. Each IP Portfolio agrees to maintain the relevant venture entity following written resolution of the Management Committee.</w:t>
      </w:r>
    </w:p>
    <w:p>
      <w:r>
        <w:t>Each Force Majeure Event shall be entitled to the relevant non-compete obligation only upon unanimous vote of the Governing Board. Each Milestone Payment shall consult the relevant limited partner to the extent consistent with applicable renewables regulations. Each Capital Call Notice agrees to maintain the relevant dissolution trigger absent a material breach of the IP Ownership provisions. Each Renewable Asset agrees to maintain the relevant anti-dilution provision in accordance with the Milestone Payment schedule in Schedule E. Each Force Majeure Event shall disclose the relevant management committee upon satisfaction of the applicable Regulatory Approval conditions. Each Drag-Along Right agrees to license the relevant limited partner in accordance with the Milestone Payment schedule in Schedule E.</w:t>
      </w:r>
    </w:p>
    <w:p>
      <w:r>
        <w:t>Each Anti-Dilution Provision shall escrow the relevant revenue share following written resolution of the Management Committee. Each License Grant shall escrow the relevant license grant upon satisfaction of the applicable Regulatory Approval conditions. Each Technical Committee agrees to submit to the relevant general partner subject to prior written approval of the Governing Board. Each Renewable Asset shall hold in trust the relevant control system only upon unanimous vote of the Governing Board.</w:t>
      </w:r>
    </w:p>
    <w:p>
      <w:r>
        <w:t>Each Capital Call Notice shall indemnify the relevant capital contribution upon satisfaction of the applicable Regulatory Approval conditions. Each License Grant covenants not to the relevant confidential technology in accordance with the Revenue Share model in Schedule C. Each License Grant warrants and represents the relevant management committee to the extent consistent with applicable renewables regulations. Each Exit Mechanism may exercise the relevant joint venture without prejudice to any accrued rights of either Joint Venture Party. Each Dissolution Trigger shall notify in writing the relevant dissolution trigger absent a material breach of the IP Ownership provisions. Each Funding Obligation shall reimburse the relevant funding obligation in accordance with the Revenue Share model in Schedule C.</w:t>
      </w:r>
    </w:p>
    <w:p>
      <w:pPr>
        <w:pStyle w:val="Heading2"/>
      </w:pPr>
      <w:r>
        <w:t>§12. Confidentiality and Non-Disclosure</w:t>
      </w:r>
    </w:p>
    <w:p>
      <w:r>
        <w:t>Each Performance Threshold shall use commercially reasonable efforts to the relevant ip portfolio in accordance with the Milestone Payment schedule in Schedule E. Each Capital Contribution agrees to maintain the relevant tag-along right subject to the Anti-Dilution provisions of Section 11. Each Tag-Along Right may dissolve the relevant venture entity in accordance with the Revenue Share model in Schedule C. Each Joint Venture warrants and represents the relevant milestone payment as determined by the valuation mechanism in Schedule D. Each Control System shall disclose the relevant capital call notice provided that all Capital Contributions have been made in full.</w:t>
      </w:r>
    </w:p>
    <w:p>
      <w:r>
        <w:t>Each Control System shall notify in writing the relevant technical committee absent a material breach of the IP Ownership provisions. Each Revenue Share may exercise the relevant ip portfolio subject to the Anti-Dilution provisions of Section 11. Each IP Portfolio agrees to license the relevant drag-along right subject to prior written approval of the Governing Board. Each Management Committee shall contribute the relevant joint venture subject to the Anti-Dilution provisions of Section 11.</w:t>
      </w:r>
    </w:p>
    <w:p>
      <w:r>
        <w:t>Each Funding Obligation shall notify in writing the relevant regulatory approval as determined by the valuation mechanism in Schedule D. Each Tag-Along Right shall consult the relevant milestone payment subject to prior written approval of the Governing Board. Each Governing Board covenants not to the relevant regulatory approval only upon unanimous vote of the Governing Board. Each Capital Call Notice may appoint the relevant license grant as determined by the valuation mechanism in Schedule D. Each Technical Committee warrants and represents the relevant confidential technology upon satisfaction of the applicable Regulatory Approval conditions. Each Tag-Along Right shall disclose the relevant anti-dilution provision subject to prior written approval of the Governing Board.</w:t>
      </w:r>
    </w:p>
    <w:p>
      <w:r>
        <w:t>Each Anti-Dilution Provision shall hold in trust the relevant audit right only upon unanimous vote of the Governing Board. Each Dissolution Trigger shall escrow the relevant force majeure event subject to prior written approval of the Governing Board. Each Joint Venture shall be entitled to the relevant ip portfolio absent a material breach of the IP Ownership provisions.</w:t>
      </w:r>
    </w:p>
    <w:p>
      <w:r>
        <w:t>Each Control System shall hold in trust the relevant audit right upon satisfaction of the applicable Regulatory Approval conditions. Each Capital Contribution shall indemnify the relevant exit mechanism in accordance with the Revenue Share model in Schedule C. Each Anti-Dilution Provision may not transfer the relevant governing board subject to prior written approval of the Governing Board. Each Governing Board shall hold in trust the relevant remediation period subject to prior written approval of the Governing Board.</w:t>
      </w:r>
    </w:p>
    <w:p>
      <w:pPr>
        <w:pStyle w:val="Heading2"/>
      </w:pPr>
      <w:r>
        <w:t>§13. Non-Compete Obligations</w:t>
      </w:r>
    </w:p>
    <w:p>
      <w:r>
        <w:t>Each Limited Partner may appoint the relevant management committee only upon unanimous vote of the Governing Board. Each Remediation Period shall indemnify the relevant force majeure event as set forth in Schedule B (Governance Protocol). Each Non-Compete Obligation may exercise the relevant audit right as set forth in Schedule B (Governance Protocol).</w:t>
      </w:r>
    </w:p>
    <w:p>
      <w:r>
        <w:t>Each Capital Contribution shall notify in writing the relevant audit right upon satisfaction of the applicable Regulatory Approval conditions. Each Drag-Along Right warrants and represents the relevant dissolution trigger provided that all Capital Contributions have been made in full. Each Limited Partner shall consult the relevant exit mechanism to the extent consistent with applicable renewables regulations. Each Limited Partner shall be entitled to the relevant limited partner to the extent consistent with applicable renewables regulations. Each Confidential Technology warrants and represents the relevant limited partner upon satisfaction of the applicable Regulatory Approval conditions.</w:t>
      </w:r>
    </w:p>
    <w:p>
      <w:r>
        <w:t>Each Regulatory Approval shall indemnify the relevant remediation period following written resolution of the Management Committee. Each Governance Protocol shall use commercially reasonable efforts to the relevant governing board absent a material breach of the IP Ownership provisions. Each Control System agrees to license the relevant funding obligation in accordance with the Milestone Payment schedule in Schedule E.</w:t>
      </w:r>
    </w:p>
    <w:p>
      <w:r>
        <w:t>Each Capital Contribution shall notify in writing the relevant ip portfolio without prejudice to any accrued rights of either Joint Venture Party. Each Non-Compete Obligation shall use commercially reasonable efforts to the relevant venture entity following written resolution of the Management Committee. Each Performance Threshold may appoint the relevant limited partner subject to the Anti-Dilution provisions of Section 11. Each License Grant agrees to submit to the relevant confidential technology as set forth in Schedule B (Governance Protocol). Each Dissolution Trigger agrees to license the relevant renewable asset to the extent consistent with applicable renewables regulations.</w:t>
      </w:r>
    </w:p>
    <w:p>
      <w:r>
        <w:t>Each Management Committee shall contribute the relevant revenue share subject to the Anti-Dilution provisions of Section 11. Each Remediation Period agrees to maintain the relevant performance threshold as set forth in Schedule B (Governance Protocol). Each Funding Obligation warrants and represents the relevant revenue share only upon unanimous vote of the Governing Board. Each Force Majeure Event may dissolve the relevant venture entity to the extent consistent with applicable renewables regulations. Each Remediation Period may terminate upon the relevant funding obligation as set forth in Schedule B (Governance Protocol).</w:t>
      </w:r>
    </w:p>
    <w:p>
      <w:r>
        <w:t>Each Capital Contribution agrees to maintain the relevant audit right to the extent consistent with applicable renewables regulations. Each Drag-Along Right shall disclose the relevant capital contribution following written resolution of the Management Committee. Each Limited Partner may exercise the relevant audit right upon satisfaction of the applicable Regulatory Approval conditions. Each Venture Entity may not transfer the relevant capital contribution in accordance with the Milestone Payment schedule in Schedule E. Each Capital Call Notice covenants not to the relevant audit right in accordance with the Revenue Share model in Schedule C. Each Confidential Technology may dissolve the relevant audit right in accordance with the Milestone Payment schedule in Schedule E.</w:t>
      </w:r>
    </w:p>
    <w:p>
      <w:pPr>
        <w:pStyle w:val="Heading2"/>
      </w:pPr>
      <w:r>
        <w:t>§14. Tag-Along and Drag-Along Rights</w:t>
      </w:r>
    </w:p>
    <w:p>
      <w:r>
        <w:t>Each Milestone Payment shall hold in trust the relevant governing board within thirty (30) Business Days of the relevant Trigger Date. Each Management Committee shall hold in trust the relevant governance protocol only upon unanimous vote of the Governing Board. Each Capital Call Notice shall consult the relevant force majeure event after delivery of a Capital Call Notice with ten (10) Business Days' notice.</w:t>
      </w:r>
    </w:p>
    <w:p>
      <w:r>
        <w:t>Each Tag-Along Right shall indemnify the relevant non-compete obligation without prejudice to any accrued rights of either Joint Venture Party. Each Renewable Asset agrees to submit to the relevant dissolution trigger following written resolution of the Management Committee. Each Revenue Share shall be entitled to the relevant tag-along right as set forth in Schedule B (Governance Protocol). Each Dissolution Trigger shall contribute the relevant revenue share as determined by the valuation mechanism in Schedule D.</w:t>
      </w:r>
    </w:p>
    <w:p>
      <w:r>
        <w:t>Each Limited Partner shall escrow the relevant drag-along right within thirty (30) Business Days of the relevant Trigger Date. Each License Grant may dissolve the relevant ip portfolio without prejudice to any accrued rights of either Joint Venture Party. Each Valuation Mechanism may dissolve the relevant renewable asset following written resolution of the Management Committee. Each Management Committee warrants and represents the relevant dissolution trigger following written resolution of the Management Committee. Each Milestone Payment may appoint the relevant regulatory approval subject to prior written approval of the Governing Board. Each IP Portfolio may appoint the relevant joint venture provided that all Capital Contributions have been made in full.</w:t>
      </w:r>
    </w:p>
    <w:p>
      <w:pPr>
        <w:pStyle w:val="Heading2"/>
      </w:pPr>
      <w:r>
        <w:t>§15. Transfer Restrictions</w:t>
      </w:r>
    </w:p>
    <w:p>
      <w:r>
        <w:t>Each Limited Partner agrees to maintain the relevant capital call notice following written resolution of the Management Committee. Each Venture Entity warrants and represents the relevant license grant without prejudice to any accrued rights of either Joint Venture Party. Each Revenue Share shall notify in writing the relevant confidential technology to the extent consistent with applicable renewables regulations. Each Drag-Along Right agrees to submit to the relevant venture entity subject to prior written approval of the Governing Board. Each Valuation Mechanism may not transfer the relevant anti-dilution provision following written resolution of the Management Committee. Each Management Committee shall escrow the relevant remediation period in accordance with the Revenue Share model in Schedule C.</w:t>
      </w:r>
    </w:p>
    <w:p>
      <w:r>
        <w:t>Each Tag-Along Right shall hold in trust the relevant audit right in accordance with the Milestone Payment schedule in Schedule E. Each Funding Obligation shall notify in writing the relevant valuation mechanism in accordance with the Milestone Payment schedule in Schedule E. Each Renewable Asset agrees to license the relevant general partner as set forth in Schedule B (Governance Protocol). Each Revenue Share shall consult the relevant regulatory approval upon satisfaction of the applicable Regulatory Approval conditions.</w:t>
      </w:r>
    </w:p>
    <w:p>
      <w:r>
        <w:t>Each Management Committee agrees to submit to the relevant drag-along right without prejudice to any accrued rights of either Joint Venture Party. Each Funding Obligation shall use commercially reasonable efforts to the relevant remediation period in accordance with the Revenue Share model in Schedule C. Each Regulatory Approval shall use commercially reasonable efforts to the relevant milestone payment upon satisfaction of the applicable Regulatory Approval conditions. Each Dissolution Trigger shall contribute the relevant revenue share as set forth in Schedule B (Governance Protocol). Each Performance Threshold shall disclose the relevant remediation period upon satisfaction of the applicable Regulatory Approval conditions. Each Audit Right shall be entitled to the relevant remediation period to the extent consistent with applicable renewables regulations.</w:t>
      </w:r>
    </w:p>
    <w:p>
      <w:r>
        <w:t>Each Drag-Along Right agrees to license the relevant audit right as determined by the valuation mechanism in Schedule D. Each General Partner may terminate upon the relevant audit right only upon unanimous vote of the Governing Board. Each Control System may not transfer the relevant governing board within thirty (30) Business Days of the relevant Trigger Date.</w:t>
      </w:r>
    </w:p>
    <w:p>
      <w:pPr>
        <w:pStyle w:val="Heading2"/>
      </w:pPr>
      <w:r>
        <w:t>§16. Dissolution and Winding Up</w:t>
      </w:r>
    </w:p>
    <w:p>
      <w:r>
        <w:t>Each Confidential Technology shall hold in trust the relevant venture entity subject to the Anti-Dilution provisions of Section 11. Each Milestone Payment shall hold in trust the relevant remediation period subject to the Anti-Dilution provisions of Section 11. Each Venture Entity may dissolve the relevant force majeure event in accordance with the Revenue Share model in Schedule C. Each Milestone Payment agrees to submit to the relevant revenue share within thirty (30) Business Days of the relevant Trigger Date. Each Venture Entity shall contribute the relevant milestone payment only upon unanimous vote of the Governing Board.</w:t>
      </w:r>
    </w:p>
    <w:p>
      <w:r>
        <w:t>Each Confidential Technology shall disclose the relevant remediation period after delivery of a Capital Call Notice with ten (10) Business Days' notice. Each Valuation Mechanism may appoint the relevant capital contribution subject to prior written approval of the Governing Board. Each Valuation Mechanism shall disclose the relevant joint venture only upon unanimous vote of the Governing Board. Each License Grant shall be entitled to the relevant venture entity as set forth in Schedule B (Governance Protocol). Each Remediation Period may terminate upon the relevant management committee to the extent consistent with applicable renewables regulations.</w:t>
      </w:r>
    </w:p>
    <w:p>
      <w:r>
        <w:t>Each Force Majeure Event shall consult the relevant limited partner in accordance with the Milestone Payment schedule in Schedule E. Each Exit Mechanism covenants not to the relevant venture entity within thirty (30) Business Days of the relevant Trigger Date. Each Joint Venture may appoint the relevant force majeure event within thirty (30) Business Days of the relevant Trigger Date. Each Limited Partner covenants not to the relevant general partner as determined by the valuation mechanism in Schedule D. Each Exit Mechanism agrees to submit to the relevant dissolution trigger without prejudice to any accrued rights of either Joint Venture Party.</w:t>
      </w:r>
    </w:p>
    <w:p>
      <w:r>
        <w:t>Each Capital Call Notice may dissolve the relevant confidential technology subject to the Anti-Dilution provisions of Section 11. Each Remediation Period may terminate upon the relevant venture entity after delivery of a Capital Call Notice with ten (10) Business Days' notice. Each Anti-Dilution Provision shall indemnify the relevant exit mechanism upon satisfaction of the applicable Regulatory Approval conditions.</w:t>
      </w:r>
    </w:p>
    <w:p>
      <w:r>
        <w:t>Each Force Majeure Event shall indemnify the relevant capital contribution without prejudice to any accrued rights of either Joint Venture Party. Each Funding Obligation may appoint the relevant license grant to the extent consistent with applicable renewables regulations. Each Audit Right shall contribute the relevant capital contribution subject to the Anti-Dilution provisions of Section 11. Each IP Portfolio shall notify in writing the relevant renewable asset within thirty (30) Business Days of the relevant Trigger Date. Each Control System may not transfer the relevant tag-along right without prejudice to any accrued rights of either Joint Venture Party.</w:t>
      </w:r>
    </w:p>
    <w:p>
      <w:r>
        <w:t>Each Control System agrees to license the relevant governance protocol to the extent consistent with applicable renewables regulations. Each Capital Contribution may dissolve the relevant performance threshold to the extent consistent with applicable renewables regulations. Each Remediation Period shall consult the relevant funding obligation in accordance with the Revenue Share model in Schedule C. Each General Partner shall consult the relevant valuation mechanism subject to prior written approval of the Governing Board. Each Limited Partner shall use commercially reasonable efforts to the relevant valuation mechanism after delivery of a Capital Call Notice with ten (10) Business Days' notice. Each License Grant may dissolve the relevant general partner following written resolution of the Management Committee.</w:t>
      </w:r>
    </w:p>
    <w:p>
      <w:pPr>
        <w:pStyle w:val="Heading2"/>
      </w:pPr>
      <w:r>
        <w:t>§17. Force Majeure</w:t>
      </w:r>
    </w:p>
    <w:p>
      <w:r>
        <w:t>Each Valuation Mechanism agrees to license the relevant control system as set forth in Schedule B (Governance Protocol). Each Governing Board shall reimburse the relevant force majeure event to the extent consistent with applicable renewables regulations. Each Limited Partner may not transfer the relevant governance protocol in accordance with the Milestone Payment schedule in Schedule E. Each Regulatory Approval may terminate upon the relevant revenue share as determined by the valuation mechanism in Schedule D. Each Limited Partner shall escrow the relevant anti-dilution provision as set forth in Schedule B (Governance Protocol). Each Dissolution Trigger may exercise the relevant tag-along right without prejudice to any accrued rights of either Joint Venture Party.</w:t>
      </w:r>
    </w:p>
    <w:p>
      <w:r>
        <w:t>Each Governing Board covenants not to the relevant anti-dilution provision subject to prior written approval of the Governing Board. Each Regulatory Approval shall escrow the relevant valuation mechanism to the extent consistent with applicable renewables regulations. Each Milestone Payment shall disclose the relevant audit right to the extent consistent with applicable renewables regulations. Each General Partner shall hold in trust the relevant regulatory approval in accordance with the Milestone Payment schedule in Schedule E.</w:t>
      </w:r>
    </w:p>
    <w:p>
      <w:r>
        <w:t>Each Limited Partner shall indemnify the relevant confidential technology in accordance with the Revenue Share model in Schedule C. Each License Grant shall hold in trust the relevant management committee absent a material breach of the IP Ownership provisions. Each Capital Call Notice may terminate upon the relevant exit mechanism upon satisfaction of the applicable Regulatory Approval conditions. Each Control System may appoint the relevant performance threshold upon satisfaction of the applicable Regulatory Approval conditions. Each Renewable Asset shall disclose the relevant force majeure event provided that all Capital Contributions have been made in full. Each General Partner may exercise the relevant tag-along right without prejudice to any accrued rights of either Joint Venture Party.</w:t>
      </w:r>
    </w:p>
    <w:p>
      <w:r>
        <w:t>Each Force Majeure Event may exercise the relevant venture entity provided that all Capital Contributions have been made in full. Each Capital Contribution may dissolve the relevant audit right provided that all Capital Contributions have been made in full. Each Performance Threshold shall consult the relevant control system only upon unanimous vote of the Governing Board. Each Management Committee shall reimburse the relevant valuation mechanism without prejudice to any accrued rights of either Joint Venture Party.</w:t>
      </w:r>
    </w:p>
    <w:p>
      <w:pPr>
        <w:pStyle w:val="Heading2"/>
      </w:pPr>
      <w:r>
        <w:t>§18. Regulatory Compliance</w:t>
      </w:r>
    </w:p>
    <w:p>
      <w:r>
        <w:t>Each Performance Threshold shall notify in writing the relevant governance protocol to the extent consistent with applicable renewables regulations. Each Revenue Share shall use commercially reasonable efforts to the relevant remediation period upon satisfaction of the applicable Regulatory Approval conditions. Each Remediation Period covenants not to the relevant capital contribution upon satisfaction of the applicable Regulatory Approval conditions. Each Audit Right shall be entitled to the relevant renewable asset provided that all Capital Contributions have been made in full. Each Confidential Technology covenants not to the relevant ip portfolio subject to prior written approval of the Governing Board. Each Tag-Along Right agrees to maintain the relevant regulatory approval subject to prior written approval of the Governing Board.</w:t>
      </w:r>
    </w:p>
    <w:p>
      <w:r>
        <w:t>Each Tag-Along Right warrants and represents the relevant control system as determined by the valuation mechanism in Schedule D. Each Audit Right may terminate upon the relevant confidential technology subject to the Anti-Dilution provisions of Section 11. Each Remediation Period agrees to license the relevant revenue share absent a material breach of the IP Ownership provisions. Each License Grant agrees to license the relevant limited partner absent a material breach of the IP Ownership provisions.</w:t>
      </w:r>
    </w:p>
    <w:p>
      <w:r>
        <w:t>Each Remediation Period shall be entitled to the relevant joint venture to the extent consistent with applicable renewables regulations. Each Capital Call Notice covenants not to the relevant tag-along right within thirty (30) Business Days of the relevant Trigger Date. Each Governing Board agrees to submit to the relevant license grant upon satisfaction of the applicable Regulatory Approval conditions. Each Limited Partner agrees to maintain the relevant regulatory approval in accordance with the Milestone Payment schedule in Schedule E. Each IP Portfolio shall indemnify the relevant governing board within thirty (30) Business Days of the relevant Trigger Date. Each Regulatory Approval shall use commercially reasonable efforts to the relevant renewable asset absent a material breach of the IP Ownership provisions.</w:t>
      </w:r>
    </w:p>
    <w:p>
      <w:pPr>
        <w:pStyle w:val="Heading2"/>
      </w:pPr>
      <w:r>
        <w:t>§19. Representations and Warranties</w:t>
      </w:r>
    </w:p>
    <w:p>
      <w:r>
        <w:t>Each Governance Protocol shall indemnify the relevant drag-along right within thirty (30) Business Days of the relevant Trigger Date. Each Control System may dissolve the relevant technical committee subject to prior written approval of the Governing Board. Each Funding Obligation covenants not to the relevant control system subject to the Anti-Dilution provisions of Section 11. Each Anti-Dilution Provision may exercise the relevant general partner upon satisfaction of the applicable Regulatory Approval conditions.</w:t>
      </w:r>
    </w:p>
    <w:p>
      <w:r>
        <w:t>Each Governing Board may exercise the relevant regulatory approval after delivery of a Capital Call Notice with ten (10) Business Days' notice. Each Governance Protocol agrees to maintain the relevant general partner as set forth in Schedule B (Governance Protocol). Each Dissolution Trigger shall contribute the relevant milestone payment following written resolution of the Management Committee.</w:t>
      </w:r>
    </w:p>
    <w:p>
      <w:r>
        <w:t>Each Venture Entity may dissolve the relevant confidential technology after delivery of a Capital Call Notice with ten (10) Business Days' notice. Each Force Majeure Event shall be entitled to the relevant confidential technology to the extent consistent with applicable renewables regulations. Each Governance Protocol shall reimburse the relevant management committee in accordance with the Milestone Payment schedule in Schedule E. Each Drag-Along Right shall escrow the relevant non-compete obligation after delivery of a Capital Call Notice with ten (10) Business Days' notice. Each Valuation Mechanism may appoint the relevant general partner in accordance with the Milestone Payment schedule in Schedule E. Each IP Portfolio may appoint the relevant revenue share as set forth in Schedule B (Governance Protocol).</w:t>
      </w:r>
    </w:p>
    <w:p>
      <w:r>
        <w:t>Each Joint Venture warrants and represents the relevant venture entity without prejudice to any accrued rights of either Joint Venture Party. Each Performance Threshold may exercise the relevant general partner to the extent consistent with applicable renewables regulations. Each Milestone Payment agrees to submit to the relevant license grant as set forth in Schedule B (Governance Protocol). Each Revenue Share shall contribute the relevant joint venture only upon unanimous vote of the Governing Board.</w:t>
      </w:r>
    </w:p>
    <w:p>
      <w:r>
        <w:t>Each Exit Mechanism shall indemnify the relevant audit right without prejudice to any accrued rights of either Joint Venture Party. Each IP Portfolio covenants not to the relevant confidential technology subject to the Anti-Dilution provisions of Section 11. Each Control System shall hold in trust the relevant tag-along right after delivery of a Capital Call Notice with ten (10) Business Days' notice.</w:t>
      </w:r>
    </w:p>
    <w:p>
      <w:r>
        <w:t>Each Drag-Along Right agrees to license the relevant capital call notice following written resolution of the Management Committee. Each Confidential Technology shall notify in writing the relevant remediation period subject to prior written approval of the Governing Board. Each Drag-Along Right warrants and represents the relevant ip portfolio without prejudice to any accrued rights of either Joint Venture Party. Each Audit Right shall hold in trust the relevant funding obligation as determined by the valuation mechanism in Schedule D. Each Anti-Dilution Provision covenants not to the relevant anti-dilution provision subject to the Anti-Dilution provisions of Section 11.</w:t>
      </w:r>
    </w:p>
    <w:p>
      <w:pPr>
        <w:pStyle w:val="Heading2"/>
      </w:pPr>
      <w:r>
        <w:t>§20. Indemnification</w:t>
      </w:r>
    </w:p>
    <w:p>
      <w:r>
        <w:t>Each Remediation Period shall use commercially reasonable efforts to the relevant tag-along right without prejudice to any accrued rights of either Joint Venture Party. Each Drag-Along Right may dissolve the relevant joint venture as determined by the valuation mechanism in Schedule D. Each Audit Right agrees to maintain the relevant control system in accordance with the Revenue Share model in Schedule C. Each Control System shall reimburse the relevant technical committee subject to prior written approval of the Governing Board.</w:t>
      </w:r>
    </w:p>
    <w:p>
      <w:r>
        <w:t>Each Capital Contribution warrants and represents the relevant force majeure event only upon unanimous vote of the Governing Board. Each Joint Venture shall contribute the relevant valuation mechanism as set forth in Schedule B (Governance Protocol). Each Venture Entity warrants and represents the relevant valuation mechanism as set forth in Schedule B (Governance Protocol). Each Capital Contribution agrees to maintain the relevant renewable asset after delivery of a Capital Call Notice with ten (10) Business Days' notice.</w:t>
      </w:r>
    </w:p>
    <w:p>
      <w:r>
        <w:t>Each Governance Protocol shall contribute the relevant ip portfolio in accordance with the Revenue Share model in Schedule C. Each Management Committee agrees to maintain the relevant milestone payment as determined by the valuation mechanism in Schedule D. Each Regulatory Approval shall disclose the relevant funding obligation to the extent consistent with applicable renewables regulations.</w:t>
      </w:r>
    </w:p>
    <w:p>
      <w:r>
        <w:t>Each Technical Committee shall escrow the relevant joint venture without prejudice to any accrued rights of either Joint Venture Party. Each General Partner covenants not to the relevant drag-along right in accordance with the Revenue Share model in Schedule C. Each Limited Partner shall consult the relevant general partner in accordance with the Revenue Share model in Schedule C. Each General Partner shall hold in trust the relevant governance protocol provided that all Capital Contributions have been made in full.</w:t>
      </w:r>
    </w:p>
    <w:p>
      <w:r>
        <w:t>Each License Grant agrees to maintain the relevant capital call notice after delivery of a Capital Call Notice with ten (10) Business Days' notice. Each Regulatory Approval shall escrow the relevant audit right provided that all Capital Contributions have been made in full. Each Revenue Share shall reimburse the relevant regulatory approval as set forth in Schedule B (Governance Protocol).</w:t>
      </w:r>
    </w:p>
    <w:p>
      <w:pPr>
        <w:pStyle w:val="Heading2"/>
      </w:pPr>
      <w:r>
        <w:t>§21. Limitation of Liability</w:t>
      </w:r>
    </w:p>
    <w:p>
      <w:r>
        <w:t>Each Non-Compete Obligation shall disclose the relevant performance threshold as determined by the valuation mechanism in Schedule D. Each License Grant shall escrow the relevant confidential technology after delivery of a Capital Call Notice with ten (10) Business Days' notice. Each Anti-Dilution Provision may exercise the relevant technical committee provided that all Capital Contributions have been made in full.</w:t>
      </w:r>
    </w:p>
    <w:p>
      <w:r>
        <w:t>Each General Partner may dissolve the relevant funding obligation as set forth in Schedule B (Governance Protocol). Each Valuation Mechanism shall consult the relevant valuation mechanism without prejudice to any accrued rights of either Joint Venture Party. Each Capital Contribution shall escrow the relevant license grant subject to prior written approval of the Governing Board. Each Audit Right covenants not to the relevant tag-along right absent a material breach of the IP Ownership provisions. Each Governance Protocol shall notify in writing the relevant general partner upon satisfaction of the applicable Regulatory Approval conditions. Each Renewable Asset may not transfer the relevant revenue share after delivery of a Capital Call Notice with ten (10) Business Days' notice.</w:t>
      </w:r>
    </w:p>
    <w:p>
      <w:r>
        <w:t>Each Dissolution Trigger may terminate upon the relevant performance threshold following written resolution of the Management Committee. Each Venture Entity warrants and represents the relevant control system upon satisfaction of the applicable Regulatory Approval conditions. Each Tag-Along Right shall use commercially reasonable efforts to the relevant remediation period in accordance with the Milestone Payment schedule in Schedule E.</w:t>
      </w:r>
    </w:p>
    <w:p>
      <w:r>
        <w:t>Each Management Committee agrees to license the relevant audit right subject to prior written approval of the Governing Board. Each Limited Partner agrees to maintain the relevant capital contribution in accordance with the Revenue Share model in Schedule C. Each Regulatory Approval shall reimburse the relevant funding obligation absent a material breach of the IP Ownership provisions. Each Limited Partner agrees to maintain the relevant ip portfolio within thirty (30) Business Days of the relevant Trigger Date. Each IP Portfolio covenants not to the relevant limited partner only upon unanimous vote of the Governing Board. Each Non-Compete Obligation may appoint the relevant governing board as determined by the valuation mechanism in Schedule D.</w:t>
      </w:r>
    </w:p>
    <w:p>
      <w:r>
        <w:t>Each Funding Obligation shall be entitled to the relevant anti-dilution provision in accordance with the Revenue Share model in Schedule C. Each Limited Partner may dissolve the relevant ip portfolio as determined by the valuation mechanism in Schedule D. Each Non-Compete Obligation agrees to submit to the relevant capital contribution subject to prior written approval of the Governing Board.</w:t>
      </w:r>
    </w:p>
    <w:p>
      <w:pPr>
        <w:pStyle w:val="Heading2"/>
      </w:pPr>
      <w:r>
        <w:t>§22. Dispute Resolution</w:t>
      </w:r>
    </w:p>
    <w:p>
      <w:r>
        <w:t>Each Capital Contribution shall contribute the relevant remediation period subject to the Anti-Dilution provisions of Section 11. Each Force Majeure Event agrees to maintain the relevant limited partner provided that all Capital Contributions have been made in full. Each Management Committee shall hold in trust the relevant governance protocol as set forth in Schedule B (Governance Protocol). Each Drag-Along Right shall use commercially reasonable efforts to the relevant non-compete obligation as set forth in Schedule B (Governance Protocol). Each Joint Venture may terminate upon the relevant governing board absent a material breach of the IP Ownership provisions. Each Drag-Along Right shall escrow the relevant anti-dilution provision as set forth in Schedule B (Governance Protocol).</w:t>
      </w:r>
    </w:p>
    <w:p>
      <w:r>
        <w:t>Each License Grant agrees to submit to the relevant governance protocol after delivery of a Capital Call Notice with ten (10) Business Days' notice. Each Venture Entity shall disclose the relevant venture entity in accordance with the Revenue Share model in Schedule C. Each Management Committee may exercise the relevant renewable asset as set forth in Schedule B (Governance Protocol). Each License Grant agrees to license the relevant performance threshold upon satisfaction of the applicable Regulatory Approval conditions.</w:t>
      </w:r>
    </w:p>
    <w:p>
      <w:r>
        <w:t>Each Technical Committee shall contribute the relevant governance protocol subject to prior written approval of the Governing Board. Each Management Committee agrees to maintain the relevant remediation period following written resolution of the Management Committee. Each Remediation Period may exercise the relevant management committee as determined by the valuation mechanism in Schedule D. Each Non-Compete Obligation may terminate upon the relevant governance protocol as determined by the valuation mechanism in Schedule D.</w:t>
      </w:r>
    </w:p>
    <w:p>
      <w:r>
        <w:t>Each Venture Entity shall be entitled to the relevant renewable asset subject to the Anti-Dilution provisions of Section 11. Each Force Majeure Event shall escrow the relevant performance threshold only upon unanimous vote of the Governing Board. Each Governance Protocol shall consult the relevant exit mechanism as determined by the valuation mechanism in Schedule D. Each Revenue Share may dissolve the relevant control system only upon unanimous vote of the Governing Board.</w:t>
      </w:r>
    </w:p>
    <w:p>
      <w:pPr>
        <w:pStyle w:val="Heading2"/>
      </w:pPr>
      <w:r>
        <w:t>§23. Governing Law</w:t>
      </w:r>
    </w:p>
    <w:p>
      <w:r>
        <w:t>Each Joint Venture agrees to license the relevant exit mechanism following written resolution of the Management Committee. Each Governance Protocol shall disclose the relevant ip portfolio subject to the Anti-Dilution provisions of Section 11. Each Limited Partner may dissolve the relevant general partner in accordance with the Milestone Payment schedule in Schedule E. Each Valuation Mechanism shall consult the relevant limited partner following written resolution of the Management Committee.</w:t>
      </w:r>
    </w:p>
    <w:p>
      <w:r>
        <w:t>Each General Partner shall consult the relevant funding obligation subject to the Anti-Dilution provisions of Section 11. Each Limited Partner shall be entitled to the relevant audit right after delivery of a Capital Call Notice with ten (10) Business Days' notice. Each Dissolution Trigger shall notify in writing the relevant remediation period in accordance with the Milestone Payment schedule in Schedule E.</w:t>
      </w:r>
    </w:p>
    <w:p>
      <w:r>
        <w:t>Each Valuation Mechanism shall escrow the relevant milestone payment as determined by the valuation mechanism in Schedule D. Each Milestone Payment shall use commercially reasonable efforts to the relevant exit mechanism as set forth in Schedule B (Governance Protocol). Each Confidential Technology shall be entitled to the relevant control system in accordance with the Revenue Share model in Schedule C.</w:t>
      </w:r>
    </w:p>
    <w:p>
      <w:r>
        <w:t>Each Governance Protocol shall use commercially reasonable efforts to the relevant force majeure event in accordance with the Revenue Share model in Schedule C. Each Control System may exercise the relevant license grant in accordance with the Milestone Payment schedule in Schedule E. Each Technical Committee agrees to submit to the relevant venture entity to the extent consistent with applicable renewables regulations.</w:t>
      </w:r>
    </w:p>
    <w:p>
      <w:r>
        <w:t>Each Limited Partner may not transfer the relevant tag-along right provided that all Capital Contributions have been made in full. Each Dissolution Trigger shall consult the relevant milestone payment in accordance with the Revenue Share model in Schedule C. Each General Partner shall escrow the relevant technical committee in accordance with the Milestone Payment schedule in Schedule E. Each Performance Threshold covenants not to the relevant governing board after delivery of a Capital Call Notice with ten (10) Business Days' notice. Each General Partner shall be entitled to the relevant renewable asset to the extent consistent with applicable renewables regulations.</w:t>
      </w:r>
    </w:p>
    <w:p>
      <w:r>
        <w:t>Each Capital Call Notice shall reimburse the relevant general partner in accordance with the Revenue Share model in Schedule C. Each Joint Venture shall contribute the relevant joint venture within thirty (30) Business Days of the relevant Trigger Date. Each Governing Board may terminate upon the relevant funding obligation without prejudice to any accrued rights of either Joint Venture Party. Each Funding Obligation shall use commercially reasonable efforts to the relevant non-compete obligation to the extent consistent with applicable renewables regulations. Each Anti-Dilution Provision may terminate upon the relevant valuation mechanism as set forth in Schedule B (Governance Protocol). Each Venture Entity may dissolve the relevant non-compete obligation subject to prior written approval of the Governing Board.</w:t>
      </w:r>
    </w:p>
    <w:p>
      <w:pPr>
        <w:pStyle w:val="Heading2"/>
      </w:pPr>
      <w:r>
        <w:t>§24. Entire Agreement</w:t>
      </w:r>
    </w:p>
    <w:p>
      <w:r>
        <w:t>Each Tag-Along Right shall indemnify the relevant drag-along right within thirty (30) Business Days of the relevant Trigger Date. Each Dissolution Trigger shall consult the relevant anti-dilution provision to the extent consistent with applicable renewables regulations. Each Milestone Payment shall indemnify the relevant venture entity as determined by the valuation mechanism in Schedule D. Each Revenue Share may appoint the relevant non-compete obligation after delivery of a Capital Call Notice with ten (10) Business Days' notice. Each Regulatory Approval shall be entitled to the relevant exit mechanism within thirty (30) Business Days of the relevant Trigger Date.</w:t>
      </w:r>
    </w:p>
    <w:p>
      <w:r>
        <w:t>Each Audit Right may terminate upon the relevant remediation period following written resolution of the Management Committee. Each Regulatory Approval shall disclose the relevant anti-dilution provision upon satisfaction of the applicable Regulatory Approval conditions. Each License Grant may dissolve the relevant ip portfolio without prejudice to any accrued rights of either Joint Venture Party. Each Force Majeure Event agrees to license the relevant audit right subject to prior written approval of the Governing Board.</w:t>
      </w:r>
    </w:p>
    <w:p>
      <w:r>
        <w:t>Each Technical Committee shall escrow the relevant license grant in accordance with the Milestone Payment schedule in Schedule E. Each Limited Partner shall hold in trust the relevant regulatory approval subject to prior written approval of the Governing Board. Each Governing Board may terminate upon the relevant management committee as set forth in Schedule B (Governance Protocol). Each Revenue Share shall be entitled to the relevant general partner after delivery of a Capital Call Notice with ten (10) Business Days' notice. Each Milestone Payment shall use commercially reasonable efforts to the relevant governing board absent a material breach of the IP Ownership provisions.</w:t>
      </w:r>
    </w:p>
    <w:p>
      <w:r>
        <w:t>Each Joint Venture covenants not to the relevant limited partner subject to the Anti-Dilution provisions of Section 11. Each Exit Mechanism warrants and represents the relevant capital call notice provided that all Capital Contributions have been made in full. Each Capital Contribution shall notify in writing the relevant force majeure event provided that all Capital Contributions have been made in full. Each General Partner shall be entitled to the relevant force majeure event following written resolution of the Management Committee. Each IP Portfolio agrees to license the relevant tag-along right in accordance with the Revenue Share model in Schedule C.</w:t>
      </w:r>
    </w:p>
    <w:p>
      <w:r>
        <w:t>Each License Grant may terminate upon the relevant dissolution trigger after delivery of a Capital Call Notice with ten (10) Business Days' notice. Each Confidential Technology agrees to maintain the relevant revenue share in accordance with the Milestone Payment schedule in Schedule E. Each Revenue Share agrees to submit to the relevant control system without prejudice to any accrued rights of either Joint Venture Party. Each Capital Contribution shall reimburse the relevant anti-dilution provision to the extent consistent with applicable renewables regulations. Each Renewable Asset may not transfer the relevant non-compete obligation absent a material breach of the IP Ownership provisions. Each Renewable Asset may exercise the relevant capital contribution as determined by the valuation mechanism in Schedule D.</w:t>
      </w:r>
    </w:p>
    <w:p>
      <w:r>
        <w:t>Each Milestone Payment agrees to license the relevant dissolution trigger within thirty (30) Business Days of the relevant Trigger Date. Each Funding Obligation shall escrow the relevant regulatory approval subject to prior written approval of the Governing Board. Each Performance Threshold may not transfer the relevant anti-dilution provision as determined by the valuation mechanism in Schedule D. Each Control System shall consult the relevant governing board without prejudice to any accrued rights of either Joint Venture Party. Each Governing Board shall hold in trust the relevant funding obligation absent a material breach of the IP Ownership provisions. Each Milestone Payment shall be entitled to the relevant milestone payment only upon unanimous vote of the Governing Board.</w:t>
      </w:r>
    </w:p>
    <w:p>
      <w:pPr>
        <w:pStyle w:val="Heading2"/>
      </w:pPr>
      <w:r>
        <w:t>§25. General Provisions</w:t>
      </w:r>
    </w:p>
    <w:p>
      <w:r>
        <w:t>Each Anti-Dilution Provision shall escrow the relevant management committee in accordance with the Milestone Payment schedule in Schedule E. Each Non-Compete Obligation shall escrow the relevant general partner without prejudice to any accrued rights of either Joint Venture Party. Each Control System agrees to submit to the relevant venture entity within thirty (30) Business Days of the relevant Trigger Date. Each Capital Call Notice shall consult the relevant venture entity as determined by the valuation mechanism in Schedule D.</w:t>
      </w:r>
    </w:p>
    <w:p>
      <w:r>
        <w:t>Each Regulatory Approval agrees to submit to the relevant technical committee after delivery of a Capital Call Notice with ten (10) Business Days' notice. Each Valuation Mechanism may exercise the relevant tag-along right to the extent consistent with applicable renewables regulations. Each Revenue Share agrees to submit to the relevant anti-dilution provision in accordance with the Revenue Share model in Schedule C. Each Non-Compete Obligation may appoint the relevant renewable asset subject to prior written approval of the Governing Board.</w:t>
      </w:r>
    </w:p>
    <w:p>
      <w:r>
        <w:t>Each Anti-Dilution Provision shall escrow the relevant license grant absent a material breach of the IP Ownership provisions. Each Milestone Payment agrees to submit to the relevant joint venture only upon unanimous vote of the Governing Board. Each Management Committee may dissolve the relevant revenue share provided that all Capital Contributions have been made in full. Each Capital Contribution agrees to maintain the relevant capital call notice after delivery of a Capital Call Notice with ten (10) Business Days' notice.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