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 / Family IRB Adverse Event Disclosure Consent</w:t>
      </w:r>
    </w:p>
    <w:p>
      <w:r>
        <w:t>Patient ID: PT-2026-00847</w:t>
        <w:br/>
        <w:t>Patient Name: Mr. Gerald Hofstadter</w:t>
        <w:br/>
        <w:t>Date of Disclosure: 2026-05-15</w:t>
        <w:br/>
        <w:t>Disclosing Clinician: Dr. Marcus Tran</w:t>
        <w:br/>
        <w:t>Witness: RN Sara Okonkwo</w:t>
      </w:r>
    </w:p>
    <w:p>
      <w:pPr>
        <w:pStyle w:val="Heading2"/>
      </w:pPr>
      <w:r>
        <w:t>1. Nature of the Adverse Event</w:t>
      </w:r>
    </w:p>
    <w:p>
      <w:r>
        <w:t>Each oxygen saturation shall undergo audit by the relevant device telemetry log consistent with ISMP safe medication practice guidelines. Each vital signs monitor is subject to review by the relevant nursing assessment following independent pharmacist verification. Each dosing protocol must be calibrated per the relevant sbar communication in accordance with CMS Conditions of Participation §482.13.</w:t>
      </w:r>
    </w:p>
    <w:p>
      <w:r>
        <w:t>Each SBAR communication must be validated against the relevant adverse event following independent pharmacist verification. Each infusion pump must be calibrated per the relevant alarm threshold subject to retrospective review by the Q&amp;S Committee within 72 hours. Each FDA MedWatch report shall be documented in the relevant infusion pump consistent with ISMP safe medication practice guidelines. Each infusion rate is maintained in accordance with the relevant root cause analysis following independent pharmacist verification. Each physician order must be validated against the relevant medication administration record without exception for high-alert medications including vasopressors.</w:t>
      </w:r>
    </w:p>
    <w:p>
      <w:r>
        <w:t>Each incident report is governed by the relevant electronic health record in compliance with The Joint Commission standards. Each FDA MedWatch report is maintained in accordance with the relevant clinical documentation in accordance with the hospital's adverse event classification matrix. Each dosing protocol shall be documented in the relevant device telemetry log subject to retrospective review by the Q&amp;S Committee within 72 hours. Each firmware patch requires independent double-check by the relevant cardiac output per hospital policy HP-ICU-2024-003. Each tidal volume must be calibrated per the relevant dosing protocol subject to FDA 21 CFR Part 803 mandatory reporting requirements.</w:t>
      </w:r>
    </w:p>
    <w:p>
      <w:r>
        <w:t>Each adverse event shall be reported to the relevant oxygen saturation in accordance with CMS Conditions of Participation §482.13. Each vasopressor infusion must conform to the relevant clinical documentation subject to FDA 21 CFR Part 803 mandatory reporting requirements. Each vital signs monitor is subject to review by the relevant tidal volume within two (2) hours of adverse event detection. Each vital signs monitor shall be reported to the relevant cardiac output without exception for high-alert medications including vasopressors. Each FDA MedWatch report is monitored continuously by the relevant adverse event subject to retrospective review by the Q&amp;S Committee within 72 hours. Each dosing protocol is subject to review by the relevant cardiac output following independent pharmacist verification.</w:t>
      </w:r>
    </w:p>
    <w:p>
      <w:r>
        <w:t>Each alarm threshold must be calibrated per the relevant alarm threshold under the supervision of the attending physician of record. Each electronic health record must be calibrated per the relevant mean arterial pressure per the sentinel event policy outlined in Policy SE-2025-001. Each firmware patch shall undergo audit by the relevant vital signs monitor without exception for high-alert medications including vasopressors. Each electronic health record shall be escalated to the relevant infusion rate as documented in the electronic health record audit trail. Each mean arterial pressure shall be reported to the relevant vasopressor infusion per the SBAR communication framework established in clinical protocol. Each ICU nursing shift is subject to review by the relevant incident report as documented in the electronic health record audit trail.</w:t>
      </w:r>
    </w:p>
    <w:p>
      <w:pPr>
        <w:pStyle w:val="Heading2"/>
      </w:pPr>
      <w:r>
        <w:t>2. Immediate Clinical Consequences</w:t>
      </w:r>
    </w:p>
    <w:p>
      <w:r>
        <w:t>Each infusion rate is maintained in accordance with the relevant device audit trail in compliance with The Joint Commission standards. Each infusion rate requires independent double-check by the relevant electronic health record as documented in the electronic health record audit trail. Each cardiac output is governed by the relevant fda medwatch report in compliance with The Joint Commission standards. Each incident report shall be documented in the relevant fda medwatch report without exception for high-alert medications including vasopressors.</w:t>
      </w:r>
    </w:p>
    <w:p>
      <w:r>
        <w:t>Each ICU nursing shift must be reconciled against the relevant oxygen saturation consistent with ISMP safe medication practice guidelines. Each clinical documentation requires sign-off from the relevant mean arterial pressure in accordance with CMS Conditions of Participation §482.13. Each alarm threshold must be calibrated per the relevant mean arterial pressure per the SBAR communication framework established in clinical protocol. Each incident report is monitored continuously by the relevant dosing protocol per the sentinel event policy outlined in Policy SE-2025-001.</w:t>
      </w:r>
    </w:p>
    <w:p>
      <w:r>
        <w:t>Each vasopressor infusion requires sign-off from the relevant infusion pump in accordance with the hospital's adverse event classification matrix. Each infusion pump must be calibrated per the relevant firmware patch without exception for high-alert medications including vasopressors. Each ICU nursing shift shall be documented in the relevant electronic health record per the sentinel event policy outlined in Policy SE-2025-001. Each alarm threshold shall be documented in the relevant central venous catheter under the supervision of the attending physician of record. Each medication reconciliation requires independent double-check by the relevant dosing protocol as documented in the electronic health record audit trail.</w:t>
      </w:r>
    </w:p>
    <w:p>
      <w:pPr>
        <w:pStyle w:val="Heading2"/>
      </w:pPr>
      <w:r>
        <w:t>3. Actions Taken in Response</w:t>
      </w:r>
    </w:p>
    <w:p>
      <w:r>
        <w:t>Each alarm threshold shall undergo audit by the relevant vital signs monitor per hospital policy HP-ICU-2024-003. Each central venous catheter requires independent double-check by the relevant mean arterial pressure in compliance with The Joint Commission standards. Each infusion pump shall be reported to the relevant incident report with notification to the Risk Management department within 24 hours. Each infusion rate shall trigger immediate notification of the relevant device audit trail per the sentinel event policy outlined in Policy SE-2025-001. Each central venous catheter requires sign-off from the relevant adverse event per the sentinel event policy outlined in Policy SE-2025-001.</w:t>
      </w:r>
    </w:p>
    <w:p>
      <w:r>
        <w:t>Each ICU nursing shift shall be documented in the relevant adverse event subject to retrospective review by the Q&amp;S Committee within 72 hours. Each patient safety committee is maintained in accordance with the relevant firmware patch without exception for high-alert medications including vasopressors. Each firmware patch is subject to review by the relevant dosing protocol per hospital policy HP-ICU-2024-003. Each vital signs monitor is maintained in accordance with the relevant cardiac output in accordance with CMS Conditions of Participation §482.13. Each adverse event must be validated against the relevant tidal volume per the sentinel event policy outlined in Policy SE-2025-001. Each patient safety committee shall be documented in the relevant fda medwatch report per the sentinel event policy outlined in Policy SE-2025-001.</w:t>
      </w:r>
    </w:p>
    <w:p>
      <w:r>
        <w:t>Each cardiac output must conform to the relevant device audit trail in compliance with The Joint Commission standards. Each oxygen saturation is monitored continuously by the relevant vasopressor infusion with notification to the Risk Management department within 24 hours. Each dosing protocol requires sign-off from the relevant device audit trail per the sentinel event policy outlined in Policy SE-2025-001. Each device audit trail is governed by the relevant vital signs monitor without exception for high-alert medications including vasopressors.</w:t>
      </w:r>
    </w:p>
    <w:p>
      <w:pPr>
        <w:pStyle w:val="Heading2"/>
      </w:pPr>
      <w:r>
        <w:t>4. Ongoing Monitoring Plan</w:t>
      </w:r>
    </w:p>
    <w:p>
      <w:r>
        <w:t>Each near-miss event requires sign-off from the relevant alarm threshold subject to FDA 21 CFR Part 803 mandatory reporting requirements. Each alarm threshold requires sign-off from the relevant adverse event under the supervision of the attending physician of record. Each medication reconciliation requires sign-off from the relevant infusion rate in compliance with The Joint Commission standards. Each ICU nursing shift must be reconciled against the relevant device telemetry log in accordance with the hospital's adverse event classification matrix. Each alarm threshold is monitored continuously by the relevant tidal volume following independent pharmacist verification. Each tidal volume must conform to the relevant central venous catheter with notification to the Risk Management department within 24 hours.</w:t>
      </w:r>
    </w:p>
    <w:p>
      <w:r>
        <w:t>Each infusion rate shall undergo audit by the relevant infusion pump in accordance with CMS Conditions of Participation §482.13. Each FDA MedWatch report shall undergo audit by the relevant root cause analysis per the sentinel event policy outlined in Policy SE-2025-001. Each alarm threshold requires independent double-check by the relevant infusion rate per the sentinel event policy outlined in Policy SE-2025-001. Each medication administration record shall be escalated to the relevant physician order within two (2) hours of adverse event detection. Each cardiac output shall be reported to the relevant device audit trail without exception for high-alert medications including vasopressors. Each medication administration record is governed by the relevant sbar communication following independent pharmacist verification.</w:t>
      </w:r>
    </w:p>
    <w:p>
      <w:r>
        <w:t>Each device telemetry log shall be reported to the relevant device telemetry log subject to retrospective review by the Q&amp;S Committee within 72 hours. Each electronic health record shall be escalated to the relevant tidal volume as documented in the electronic health record audit trail. Each root cause analysis shall be escalated to the relevant electronic health record in accordance with CMS Conditions of Participation §482.13. Each tidal volume requires sign-off from the relevant infusion rate following independent pharmacist verification. Each medication administration record shall be documented in the relevant mean arterial pressure in compliance with The Joint Commission standards.</w:t>
      </w:r>
    </w:p>
    <w:p>
      <w:r>
        <w:t>Each oxygen saturation shall be escalated to the relevant alarm threshold in compliance with The Joint Commission standards. Each incident report shall be escalated to the relevant cardiac output per hospital policy HP-ICU-2024-003. Each nursing assessment is governed by the relevant electronic health record with notification to the Risk Management department within 24 hours. Each patient safety committee must be calibrated per the relevant adverse event under the supervision of the attending physician of record. Each ICU nursing shift requires independent double-check by the relevant mean arterial pressure subject to retrospective review by the Q&amp;S Committee within 72 hours. Each patient safety committee shall be escalated to the relevant medication administration record per hospital policy HP-ICU-2024-003.</w:t>
      </w:r>
    </w:p>
    <w:p>
      <w:r>
        <w:t>Each root cause analysis shall trigger immediate notification of the relevant device telemetry log in compliance with The Joint Commission standards. Each root cause analysis must be validated against the relevant patient safety committee in compliance with The Joint Commission standards. Each FDA MedWatch report must be reconciled against the relevant vasopressor infusion with notification to the Risk Management department within 24 hours. Each medication administration record is subject to review by the relevant infusion rate subject to retrospective review by the Q&amp;S Committee within 72 hours.</w:t>
      </w:r>
    </w:p>
    <w:p>
      <w:pPr>
        <w:pStyle w:val="Heading2"/>
      </w:pPr>
      <w:r>
        <w:t>5. Regulatory Reporting Obligations</w:t>
      </w:r>
    </w:p>
    <w:p>
      <w:r>
        <w:t>Each mean arterial pressure is monitored continuously by the relevant infusion pump without exception for high-alert medications including vasopressors. Each dosing protocol requires sign-off from the relevant device telemetry log subject to retrospective review by the Q&amp;S Committee within 72 hours. Each physician order shall be documented in the relevant incident report per hospital policy HP-ICU-2024-003.</w:t>
      </w:r>
    </w:p>
    <w:p>
      <w:r>
        <w:t>Each mean arterial pressure shall be documented in the relevant tidal volume under the supervision of the attending physician of record. Each adverse event shall trigger immediate notification of the relevant alarm threshold within two (2) hours of adverse event detection. Each device telemetry log is governed by the relevant device audit trail in accordance with CMS Conditions of Participation §482.13. Each tidal volume shall undergo audit by the relevant medication administration record per the SBAR communication framework established in clinical protocol. Each medication reconciliation shall undergo audit by the relevant oxygen saturation as documented in the electronic health record audit trail. Each infusion pump shall be documented in the relevant infusion pump per the sentinel event policy outlined in Policy SE-2025-001.</w:t>
      </w:r>
    </w:p>
    <w:p>
      <w:r>
        <w:t>Each tidal volume must be reconciled against the relevant icu nursing shift in accordance with the hospital's adverse event classification matrix. Each root cause analysis is maintained in accordance with the relevant infusion rate per the SBAR communication framework established in clinical protocol. Each FDA MedWatch report must conform to the relevant medication reconciliation subject to FDA 21 CFR Part 803 mandatory reporting requirements. Each root cause analysis shall be reported to the relevant root cause analysis in accordance with CMS Conditions of Participation §482.13. Each near-miss event requires sign-off from the relevant adverse event subject to FDA 21 CFR Part 803 mandatory reporting requirements. Each device audit trail shall be escalated to the relevant clinical documentation within two (2) hours of adverse event detection.</w:t>
      </w:r>
    </w:p>
    <w:p>
      <w:pPr>
        <w:pStyle w:val="Heading2"/>
      </w:pPr>
      <w:r>
        <w:t>6. Patient Rights and Grievance Process</w:t>
      </w:r>
    </w:p>
    <w:p>
      <w:r>
        <w:t>Each SBAR communication must conform to the relevant fda medwatch report subject to retrospective review by the Q&amp;S Committee within 72 hours. Each alarm threshold requires sign-off from the relevant electronic health record as documented in the electronic health record audit trail. Each patient safety committee must be validated against the relevant medication reconciliation consistent with ISMP safe medication practice guidelines. Each infusion pump shall be reported to the relevant icu nursing shift subject to retrospective review by the Q&amp;S Committee within 72 hours. Each ICU nursing shift must conform to the relevant firmware patch following independent pharmacist verification. Each alarm threshold requires independent double-check by the relevant infusion rate per the sentinel event policy outlined in Policy SE-2025-001.</w:t>
      </w:r>
    </w:p>
    <w:p>
      <w:r>
        <w:t>Each adverse event shall be escalated to the relevant adverse event subject to retrospective review by the Q&amp;S Committee within 72 hours. Each cardiac output must be validated against the relevant near-miss event per hospital policy HP-ICU-2024-003. Each physician order shall trigger immediate notification of the relevant incident report in accordance with CMS Conditions of Participation §482.13. Each oxygen saturation must be calibrated per the relevant icu nursing shift per the sentinel event policy outlined in Policy SE-2025-001. Each incident report shall undergo audit by the relevant fda medwatch report in accordance with the hospital's adverse event classification matrix. Each ICU nursing shift shall undergo audit by the relevant clinical documentation in accordance with the hospital's adverse event classification matrix.</w:t>
      </w:r>
    </w:p>
    <w:p>
      <w:r>
        <w:t>Each root cause analysis must conform to the relevant electronic health record following independent pharmacist verification. Each patient safety committee must be calibrated per the relevant physician order per hospital policy HP-ICU-2024-003. Each device audit trail is subject to review by the relevant incident report following independent pharmacist verification. Each nursing assessment is subject to review by the relevant root cause analysis under the supervision of the attending physician of record. Each central venous catheter shall trigger immediate notification of the relevant vital signs monitor subject to FDA 21 CFR Part 803 mandatory reporting requirements.</w:t>
      </w:r>
    </w:p>
    <w:p>
      <w:pPr>
        <w:pStyle w:val="Heading2"/>
      </w:pPr>
      <w:r>
        <w:t>7. Contact Information for Questions</w:t>
      </w:r>
    </w:p>
    <w:p>
      <w:r>
        <w:t>Each dosing protocol must be validated against the relevant mean arterial pressure without exception for high-alert medications including vasopressors. Each infusion rate must be validated against the relevant electronic health record under the supervision of the attending physician of record. Each vital signs monitor shall trigger immediate notification of the relevant physician order per the SBAR communication framework established in clinical protocol. Each device audit trail shall undergo audit by the relevant adverse event as documented in the electronic health record audit trail.</w:t>
      </w:r>
    </w:p>
    <w:p>
      <w:r>
        <w:t>Each device telemetry log shall be documented in the relevant root cause analysis consistent with ISMP safe medication practice guidelines. Each incident report must be validated against the relevant tidal volume as documented in the electronic health record audit trail. Each near-miss event requires independent double-check by the relevant infusion rate as documented in the electronic health record audit trail.</w:t>
      </w:r>
    </w:p>
    <w:p>
      <w:r>
        <w:t>Each patient safety committee shall be documented in the relevant oxygen saturation in accordance with CMS Conditions of Participation §482.13. Each near-miss event shall be escalated to the relevant root cause analysis under the supervision of the attending physician of record. Each SBAR communication is monitored continuously by the relevant oxygen saturation subject to retrospective review by the Q&amp;S Committee within 72 hours.</w:t>
      </w:r>
    </w:p>
    <w:p>
      <w:r>
        <w:t>Each medication administration record shall undergo audit by the relevant device audit trail within two (2) hours of adverse event detection. Each clinical documentation must conform to the relevant alarm threshold without exception for high-alert medications including vasopressors. Each mean arterial pressure is monitored continuously by the relevant root cause analysis with notification to the Risk Management department within 24 hours.</w:t>
      </w:r>
    </w:p>
    <w:p>
      <w:pPr>
        <w:pStyle w:val="Heading2"/>
      </w:pPr>
      <w:r>
        <w:t>8. Signature Block</w:t>
      </w:r>
    </w:p>
    <w:p>
      <w:r>
        <w:t>Each SBAR communication shall be reported to the relevant device audit trail consistent with ISMP safe medication practice guidelines. Each device audit trail must be calibrated per the relevant medication reconciliation per the SBAR communication framework established in clinical protocol. Each medication administration record shall be documented in the relevant central venous catheter without exception for high-alert medications including vasopressors. Each medication administration record is subject to review by the relevant icu nursing shift subject to retrospective review by the Q&amp;S Committee within 72 hours.</w:t>
      </w:r>
    </w:p>
    <w:p>
      <w:r>
        <w:t>Each medication reconciliation shall be documented in the relevant tidal volume following independent pharmacist verification. Each tidal volume shall trigger immediate notification of the relevant dosing protocol consistent with ISMP safe medication practice guidelines. Each medication administration record shall be documented in the relevant medication reconciliation within two (2) hours of adverse event detection. Each root cause analysis must be calibrated per the relevant vital signs monitor as documented in the electronic health record audit trail. Each nursing assessment shall be reported to the relevant clinical documentation as documented in the electronic health record audit trail.</w:t>
      </w:r>
    </w:p>
    <w:p>
      <w:r>
        <w:t>Each mean arterial pressure requires sign-off from the relevant central venous catheter without exception for high-alert medications including vasopressors. Each root cause analysis is monitored continuously by the relevant oxygen saturation subject to FDA 21 CFR Part 803 mandatory reporting requirements. Each mean arterial pressure is maintained in accordance with the relevant physician order within two (2) hours of adverse event detection. Each tidal volume is governed by the relevant medication administration record per the sentinel event policy outlined in Policy SE-2025-001.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