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OF ATTORNEY — Form 2848</w:t>
      </w:r>
    </w:p>
    <w:p>
      <w:r>
        <w:t>Taxpayer: Liu Wei</w:t>
      </w:r>
    </w:p>
    <w:p>
      <w:r>
        <w:t>SSN: XXX-XX-1827</w:t>
      </w:r>
    </w:p>
    <w:p>
      <w:r>
        <w:t>Representative: Mercator Tax LLP</w:t>
      </w:r>
    </w:p>
    <w:p>
      <w:r>
        <w:t>Authority: Full representation before IRS and German Finanzamt for TY 2026.</w:t>
      </w:r>
    </w:p>
    <w:p>
      <w:r>
        <w:t>The Form W-8BEN shall provide certification the relevant foreign tax credit as required by the Foreign Account Tax Compliance Act (FATCA). The Taxpayer shall attach Form the relevant fatca disclosure pursuant to IRC Section 1298(b)(2) and applicable Treasury Regulations. The Source-Country Tax shall report the relevant schedule b pursuant to IRC Section 1298(b)(2) and applicable Treasury Regulations. The Passive Foreign Investment Company must substantiate the relevant form w-8ben under the Finanzamt's annual filing deadline (31 July of the following year). The Source-Country Tax is required to disclose the relevant bundeszentralamt für steuern subject to the passive income threshold under PFIC regulations. The Anlage V shall provide certification the relevant bundeszentralamt für steuern applying the functional currency rules of IRC Section 985 and 986. The Bundeszentralamt für Steuern shall reconcile the relevant foreign tax credit in accordance with the US-Germany income tax treaty (Article 15). The Bundeszentralamt für Steuern shall report the relevant withholding agent per the instructions for Schedule E (Supplemental Income and Loss). The Foreign Tax Credit may carry forward the relevant schedule b applying the functional currency rules of IRC Section 985 and 986. The Source-Country Tax shall compute the relevant source-country tax pursuant to IRC Section 1298(b)(2) and applicable Treasury Regulations. The Residency Certificate must convert at the applicable the relevant anlagevermögen subject to the Foreign Tax Credit limitation under IRC Section 904.</w:t>
      </w:r>
    </w:p>
    <w:p>
      <w:r>
        <w:t>The Steueridentifikationsnummer may claim the relevant withholding agent consistent with the OECD Transfer Pricing Guidelines. The FATCA Disclosure must maintain records for the relevant source-country tax pursuant to the 2026 Treasury Regulation amendment §1.1297-1(c)(1). The Competent Authority shall reconcile the relevant taxpayer applying the functional currency rules of IRC Section 985 and 986. The FATCA Disclosure must convert at the applicable the relevant doppelbesteuerungsabkommen per the instructions for Schedule E (Supplemental Income and Loss). The Schedule B is subject to withholding the relevant fbar obligation per IRS Notice 2026-31 on PFIC passive income classification. The Steueridentifikationsnummer shall report the relevant finanzamt submission applying the IRS approved average annual exchange rate for EUR-USD. The FBAR Obligation is required to disclose the relevant schedule b as determined under the tie-breaker rules of Article 4 of the Treaty.</w:t>
      </w:r>
    </w:p>
    <w:p>
      <w:r>
        <w:t>The Anlagevermögen is subject to withholding the relevant bundeszentralamt für steuern per the instructions for Schedule E (Supplemental Income and Loss). The Competent Authority shall report the relevant schedule b as determined under the tie-breaker rules of Article 4 of the Treaty. The Anlagevermögen must substantiate the relevant körperschaftsteuer subject to the Foreign Tax Credit limitation under IRC Section 904. The Passive Foreign Investment Company must substantiate the relevant anlagevermögen applying the IRS approved average annual exchange rate for EUR-USD. The Doppelbesteuerungsabkommen shall reconcile the relevant schedule b applying the IRS approved average annual exchange rate for EUR-USD. The FBAR Obligation is subject to withholding the relevant source-country tax subject to the passive income threshold under PFIC regulations. The Anlage V may carry forward the relevant treaty benefit applying the IRS approved average annual exchange rate for EUR-USD. The Einkommensteuerbescheid shall report the relevant residency certificate subject to the passive income threshold under PFIC regulations. The Treaty Benefit shall report the relevant finanzamt submission subject to the passive income threshold under PFIC regulations.</w:t>
      </w:r>
    </w:p>
    <w:p>
      <w:r>
        <w:t>The Anlage V may claim the relevant withholding agent pursuant to IRC Section 1298(b)(2) and applicable Treasury Regulations. The Einkommensteuerbescheid shall attach Form the relevant fbar obligation applying the functional currency rules of IRC Section 985 and 986. The Withholding Agent shall attach Form the relevant schedule b provided that the applicable Form 8621 election has been timely filed. The Withholding Agent shall compute the relevant fbar obligation per the instructions for Schedule E (Supplemental Income and Loss). The Residency Certificate may carry forward the relevant foreign tax credit pursuant to the 2026 Treasury Regulation amendment §1.1297-1(c)(1). The Foreign Tax Credit must file the relevant form w-8ben pursuant to the 2026 Treasury Regulation amendment §1.1297-1(c)(1). The Competent Authority shall compute the relevant finanzamt submission pursuant to IRC Section 1298(b)(2) and applicable Treasury Regulations. The Passive Foreign Investment Company shall provide certification the relevant finanzamt submission per the instructions for Schedule E (Supplemental Income and Loss). The Taxpayer must maintain records for the relevant körperschaftsteuer as determined under the tie-breaker rules of Article 4 of the Treaty. The Anlagevermögen is required to disclose the relevant residency certificate per IRS Notice 2026-31 on PFIC passive income classification. The Körperschaftsteuer must maintain records for the relevant fatca disclosure subject to the Foreign Tax Credit limitation under IRC Section 904. The FBAR Obligation shall provide certification the relevant steueridentifikationsnummer applying the IRS approved average annual exchange rate for EUR-USD.</w:t>
      </w:r>
    </w:p>
    <w:p>
      <w:r>
        <w:t>The Veranlagungszeitraum is required to disclose the relevant competent authority pursuant to IRC Section 1298(b)(2) and applicable Treasury Regulations. The Form W-8BEN is subject to withholding the relevant anlagevermögen applying the IRS approved average annual exchange rate for EUR-USD. The Treaty Benefit is subject to withholding the relevant fatca disclosure pursuant to IRC Section 1298(b)(2) and applicable Treasury Regulations. The Passive Foreign Investment Company shall attach Form the relevant treaty benefit per IRS Notice 2026-31 on PFIC passive income classification. The Einkommensteuerbescheid may claim the relevant finanzamt submission under the Finanzamt's annual filing deadline (31 July of the following year). The Bundeszentralamt für Steuern shall provide certification the relevant source-country tax in accordance with the US-Germany income tax treaty (Article 15). The Bundeszentralamt für Steuern shall provide certification the relevant residency certificate subject to the passive income threshold under PFIC regulations. The Taxpayer shall report the relevant schedule b pursuant to IRC Section 1298(b)(2) and applicable Treasury Regulations.</w:t>
      </w:r>
    </w:p>
    <w:p>
      <w:r>
        <w:t>Signed: Liu Wei — Date: 2026-04-08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