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i97nf7hla6gq" w:id="0"/>
      <w:bookmarkEnd w:id="0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MoE &amp; SMoE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shd w:fill="fafaf9" w:val="clear"/>
          <w:rtl w:val="0"/>
        </w:rPr>
        <w:t xml:space="preserve">Mistral AI has developed and used </w:t>
      </w:r>
      <w:r w:rsidDel="00000000" w:rsidR="00000000" w:rsidRPr="00000000">
        <w:rPr>
          <w:b w:val="1"/>
          <w:bCs w:val="1"/>
          <w:sz w:val="24"/>
          <w:szCs w:val="24"/>
          <w:shd w:fill="fafaf9" w:val="clear"/>
          <w:rtl w:val="0"/>
        </w:rPr>
        <w:t xml:space="preserve">Sparse Mixture of Experts (SMoE)</w:t>
      </w:r>
      <w:r w:rsidDel="00000000" w:rsidR="00000000" w:rsidRPr="00000000">
        <w:rPr>
          <w:sz w:val="24"/>
          <w:szCs w:val="24"/>
          <w:shd w:fill="fafaf9" w:val="clear"/>
          <w:rtl w:val="0"/>
        </w:rPr>
        <w:t xml:space="preserve"> architectures in some models, such as </w:t>
      </w:r>
      <w:r w:rsidDel="00000000" w:rsidR="00000000" w:rsidRPr="00000000">
        <w:rPr>
          <w:b w:val="1"/>
          <w:bCs w:val="1"/>
          <w:sz w:val="24"/>
          <w:szCs w:val="24"/>
          <w:shd w:fill="fafaf9" w:val="clear"/>
          <w:rtl w:val="0"/>
        </w:rPr>
        <w:t xml:space="preserve">Mistral 8x7B</w:t>
      </w:r>
      <w:r w:rsidDel="00000000" w:rsidR="00000000" w:rsidRPr="00000000">
        <w:rPr>
          <w:sz w:val="24"/>
          <w:szCs w:val="24"/>
          <w:shd w:fill="fafaf9" w:val="clear"/>
          <w:rtl w:val="0"/>
        </w:rPr>
        <w:t xml:space="preserve"> (an 8-expert, 7B-parameter model). This builds on the broader </w:t>
      </w:r>
      <w:r w:rsidDel="00000000" w:rsidR="00000000" w:rsidRPr="00000000">
        <w:rPr>
          <w:b w:val="1"/>
          <w:bCs w:val="1"/>
          <w:sz w:val="24"/>
          <w:szCs w:val="24"/>
          <w:shd w:fill="fafaf9" w:val="clear"/>
          <w:rtl w:val="0"/>
        </w:rPr>
        <w:t xml:space="preserve">Mixture of Experts (MoE)</w:t>
      </w:r>
      <w:r w:rsidDel="00000000" w:rsidR="00000000" w:rsidRPr="00000000">
        <w:rPr>
          <w:sz w:val="24"/>
          <w:szCs w:val="24"/>
          <w:shd w:fill="fafaf9" w:val="clear"/>
          <w:rtl w:val="0"/>
        </w:rPr>
        <w:t xml:space="preserve"> paradigm, which aims to improve efficiency and scalability in large language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7cd2rn1x08z6" w:id="1"/>
      <w:bookmarkEnd w:id="1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1. Mixture of Experts (MoE)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MoE</w:t>
      </w:r>
      <w:r w:rsidDel="00000000" w:rsidR="00000000" w:rsidRPr="00000000">
        <w:rPr>
          <w:sz w:val="24"/>
          <w:szCs w:val="24"/>
          <w:rtl w:val="0"/>
        </w:rPr>
        <w:t xml:space="preserve"> is a machine learning architecture where a model is composed of multiple specialized sub-models (called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experts</w:t>
      </w:r>
      <w:r w:rsidDel="00000000" w:rsidR="00000000" w:rsidRPr="00000000">
        <w:rPr>
          <w:sz w:val="24"/>
          <w:szCs w:val="24"/>
          <w:rtl w:val="0"/>
        </w:rPr>
        <w:t xml:space="preserve">), and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gating mechanism</w:t>
      </w:r>
      <w:r w:rsidDel="00000000" w:rsidR="00000000" w:rsidRPr="00000000">
        <w:rPr>
          <w:sz w:val="24"/>
          <w:szCs w:val="24"/>
          <w:rtl w:val="0"/>
        </w:rPr>
        <w:t xml:space="preserve"> dynamically selects which experts to activate for a given input. This allows the model to scale efficiently by only using a subset of its total parameters per token.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z2f2p1h15g9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Key Concepts: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Experts</w:t>
      </w:r>
      <w:r w:rsidDel="00000000" w:rsidR="00000000" w:rsidRPr="00000000">
        <w:rPr>
          <w:sz w:val="24"/>
          <w:szCs w:val="24"/>
          <w:rtl w:val="0"/>
        </w:rPr>
        <w:t xml:space="preserve">: Typically, each expert is a small neural network (e.g., a feed-forward layer in a transformer). In LLMs, experts are often stacked in parallel within certain layers.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Gating Mechanism</w:t>
      </w:r>
      <w:r w:rsidDel="00000000" w:rsidR="00000000" w:rsidRPr="00000000">
        <w:rPr>
          <w:sz w:val="24"/>
          <w:szCs w:val="24"/>
          <w:rtl w:val="0"/>
        </w:rPr>
        <w:t xml:space="preserve">: A learned router (often a softmax or top-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selection) decides which experts to activate for a given input. The goal is to specialize experts for different types of data (e.g., one expert for code, another for poetry).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Sparsity</w:t>
      </w:r>
      <w:r w:rsidDel="00000000" w:rsidR="00000000" w:rsidRPr="00000000">
        <w:rPr>
          <w:sz w:val="24"/>
          <w:szCs w:val="24"/>
          <w:rtl w:val="0"/>
        </w:rPr>
        <w:t xml:space="preserve">: Only a small fraction of experts are activated per input (e.g., 2 out of 8), reducing computational cost compared to a dense model of equivalent size.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o3jstpm1baue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Advantages: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sz w:val="24"/>
          <w:szCs w:val="24"/>
          <w:rtl w:val="0"/>
        </w:rPr>
        <w:t xml:space="preserve">: MoE models can have vastly more parameters (e.g., 100B+) while using only a fraction (e.g., 10B) per token, making training/inference more efficient.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Modularity</w:t>
      </w:r>
      <w:r w:rsidDel="00000000" w:rsidR="00000000" w:rsidRPr="00000000">
        <w:rPr>
          <w:sz w:val="24"/>
          <w:szCs w:val="24"/>
          <w:rtl w:val="0"/>
        </w:rPr>
        <w:t xml:space="preserve">: Experts can specialize in different tasks or data distributions, improving performance on diverse inputs.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 Efficiency</w:t>
      </w:r>
      <w:r w:rsidDel="00000000" w:rsidR="00000000" w:rsidRPr="00000000">
        <w:rPr>
          <w:sz w:val="24"/>
          <w:szCs w:val="24"/>
          <w:rtl w:val="0"/>
        </w:rPr>
        <w:t xml:space="preserve">: Lower computational and memory requirements compared to dense models of similar capacity.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eitl93xc5h4u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Challenges: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Stability</w:t>
      </w:r>
      <w:r w:rsidDel="00000000" w:rsidR="00000000" w:rsidRPr="00000000">
        <w:rPr>
          <w:sz w:val="24"/>
          <w:szCs w:val="24"/>
          <w:rtl w:val="0"/>
        </w:rPr>
        <w:t xml:space="preserve">: Balancing expert utilization is tricky; some experts may become underused ("expert collapse").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 Overhead</w:t>
      </w:r>
      <w:r w:rsidDel="00000000" w:rsidR="00000000" w:rsidRPr="00000000">
        <w:rPr>
          <w:sz w:val="24"/>
          <w:szCs w:val="24"/>
          <w:rtl w:val="0"/>
        </w:rPr>
        <w:t xml:space="preserve">: The gating mechanism adds complexity, especially in distributed training.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Inference Latency</w:t>
      </w:r>
      <w:r w:rsidDel="00000000" w:rsidR="00000000" w:rsidRPr="00000000">
        <w:rPr>
          <w:sz w:val="24"/>
          <w:szCs w:val="24"/>
          <w:rtl w:val="0"/>
        </w:rPr>
        <w:t xml:space="preserve">: While more efficient than dense models, routing adds some overhead.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mosdsfgd90b6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Examples of MoE Models: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Google’s Switch Transformer</w:t>
      </w:r>
      <w:r w:rsidDel="00000000" w:rsidR="00000000" w:rsidRPr="00000000">
        <w:rPr>
          <w:sz w:val="24"/>
          <w:szCs w:val="24"/>
          <w:rtl w:val="0"/>
        </w:rPr>
        <w:t xml:space="preserve"> (2021): Uses a top-1 gating mechanism (only 1 expert per token).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DeepMind’s GLaM</w:t>
      </w:r>
      <w:r w:rsidDel="00000000" w:rsidR="00000000" w:rsidRPr="00000000">
        <w:rPr>
          <w:sz w:val="24"/>
          <w:szCs w:val="24"/>
          <w:rtl w:val="0"/>
        </w:rPr>
        <w:t xml:space="preserve"> (2021): 1.2T parameters with 64 experts, activating 2 per token.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Meta’s NLLB</w:t>
      </w:r>
      <w:r w:rsidDel="00000000" w:rsidR="00000000" w:rsidRPr="00000000">
        <w:rPr>
          <w:sz w:val="24"/>
          <w:szCs w:val="24"/>
          <w:rtl w:val="0"/>
        </w:rPr>
        <w:t xml:space="preserve"> (2022): Uses MoE for multilingual translation.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j9ojydul06ao" w:id="6"/>
      <w:bookmarkEnd w:id="6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2. Sparse Mixture of Experts (SMoE)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SMoE</w:t>
      </w:r>
      <w:r w:rsidDel="00000000" w:rsidR="00000000" w:rsidRPr="00000000">
        <w:rPr>
          <w:sz w:val="24"/>
          <w:szCs w:val="24"/>
          <w:rtl w:val="0"/>
        </w:rPr>
        <w:t xml:space="preserve"> is Mistral AI’s refinement of the MoE paradigm, introduced in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Mistral 8x7B</w:t>
      </w:r>
      <w:r w:rsidDel="00000000" w:rsidR="00000000" w:rsidRPr="00000000">
        <w:rPr>
          <w:sz w:val="24"/>
          <w:szCs w:val="24"/>
          <w:rtl w:val="0"/>
        </w:rPr>
        <w:t xml:space="preserve"> model. It focuses on improving efficiency and stability by optimizing how experts are selected and utilized.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1trqaq8whf9o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Key Innovations in SMoE: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Top-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Gating with Auxiliary Loss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top-2 gating mechanism</w:t>
      </w:r>
      <w:r w:rsidDel="00000000" w:rsidR="00000000" w:rsidRPr="00000000">
        <w:rPr>
          <w:sz w:val="24"/>
          <w:szCs w:val="24"/>
          <w:rtl w:val="0"/>
        </w:rPr>
        <w:t xml:space="preserve"> (activates 2 experts per token), but with a novel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auxiliary loss</w:t>
      </w:r>
      <w:r w:rsidDel="00000000" w:rsidR="00000000" w:rsidRPr="00000000">
        <w:rPr>
          <w:sz w:val="24"/>
          <w:szCs w:val="24"/>
          <w:rtl w:val="0"/>
        </w:rPr>
        <w:t xml:space="preserve"> to encourage balanced expert usage.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loss penalizes over-reliance on a few experts, mitigating "expert collapse."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Efficient Routing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gating network is designed to minimize computational overhead while ensuring diverse expert activation.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Mistral’s implementation avoids the "token dropping" issue (where some tokens are ignored if too many experts are selected).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Sparse Activation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Only a sparse subset of experts is activated per token, but the design ensures that all experts are trained effectively.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This sparsity is more aggressive than in some other MoE models (e.g., Switch Transformers), improving efficiency.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SMoE allows Mistral’s models to scale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experts × 7B parameters each</w:t>
      </w:r>
      <w:r w:rsidDel="00000000" w:rsidR="00000000" w:rsidRPr="00000000">
        <w:rPr>
          <w:sz w:val="24"/>
          <w:szCs w:val="24"/>
          <w:rtl w:val="0"/>
        </w:rPr>
        <w:t xml:space="preserve"> (56B total parameters) while using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12.8B active parameters per token</w:t>
      </w:r>
      <w:r w:rsidDel="00000000" w:rsidR="00000000" w:rsidRPr="00000000">
        <w:rPr>
          <w:sz w:val="24"/>
          <w:szCs w:val="24"/>
          <w:rtl w:val="0"/>
        </w:rPr>
        <w:t xml:space="preserve"> (for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=2).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This is more efficient than a dense 56B model, which would use all parameters for every token.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76dvoupjj22p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Why SMoE?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Expert Utilization</w:t>
      </w:r>
      <w:r w:rsidDel="00000000" w:rsidR="00000000" w:rsidRPr="00000000">
        <w:rPr>
          <w:sz w:val="24"/>
          <w:szCs w:val="24"/>
          <w:rtl w:val="0"/>
        </w:rPr>
        <w:t xml:space="preserve">: The auxiliary loss ensures all experts are trained uniformly, avoiding the "rich get richer" problem where a few experts dominate.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 Latency</w:t>
      </w:r>
      <w:r w:rsidDel="00000000" w:rsidR="00000000" w:rsidRPr="00000000">
        <w:rPr>
          <w:sz w:val="24"/>
          <w:szCs w:val="24"/>
          <w:rtl w:val="0"/>
        </w:rPr>
        <w:t xml:space="preserve">: The top-2 gating is simpler than some alternatives (e.g., top-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&gt;2), reducing routing overhead.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State-of-the-Art Performance</w:t>
      </w:r>
      <w:r w:rsidDel="00000000" w:rsidR="00000000" w:rsidRPr="00000000">
        <w:rPr>
          <w:sz w:val="24"/>
          <w:szCs w:val="24"/>
          <w:rtl w:val="0"/>
        </w:rPr>
        <w:t xml:space="preserve">: Mistral 8x7B achieves competitive results with models like Llama 2 70B but with lower computational cost.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8s53wbkrhm23" w:id="9"/>
      <w:bookmarkEnd w:id="9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3. Mistral’s Architecture Choices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Mistral AI’s models (e.g.,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Mistral 7B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Mixtral 8x7B</w:t>
      </w:r>
      <w:r w:rsidDel="00000000" w:rsidR="00000000" w:rsidRPr="00000000">
        <w:rPr>
          <w:sz w:val="24"/>
          <w:szCs w:val="24"/>
          <w:rtl w:val="0"/>
        </w:rPr>
        <w:t xml:space="preserve">) combine: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 Decoder</w:t>
      </w:r>
      <w:r w:rsidDel="00000000" w:rsidR="00000000" w:rsidRPr="00000000">
        <w:rPr>
          <w:sz w:val="24"/>
          <w:szCs w:val="24"/>
          <w:rtl w:val="0"/>
        </w:rPr>
        <w:t xml:space="preserve">: Standard causal decoder architecture (like Llama/GPT).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SMoE Layers</w:t>
      </w:r>
      <w:r w:rsidDel="00000000" w:rsidR="00000000" w:rsidRPr="00000000">
        <w:rPr>
          <w:sz w:val="24"/>
          <w:szCs w:val="24"/>
          <w:rtl w:val="0"/>
        </w:rPr>
        <w:t xml:space="preserve">: In Mixtral 8x7B, every other feed-forward layer is replaced with an SMoE layer (8 experts, top-2 gating).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Efficient Training</w:t>
      </w:r>
      <w:r w:rsidDel="00000000" w:rsidR="00000000" w:rsidRPr="00000000">
        <w:rPr>
          <w:sz w:val="24"/>
          <w:szCs w:val="24"/>
          <w:rtl w:val="0"/>
        </w:rPr>
        <w:t xml:space="preserve">: Uses techniques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parallelism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expert parallelism</w:t>
      </w:r>
      <w:r w:rsidDel="00000000" w:rsidR="00000000" w:rsidRPr="00000000">
        <w:rPr>
          <w:sz w:val="24"/>
          <w:szCs w:val="24"/>
          <w:rtl w:val="0"/>
        </w:rPr>
        <w:t xml:space="preserve"> to handle the sparse activation.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</w:rPr>
      </w:pPr>
      <w:bookmarkStart w:colFirst="0" w:colLast="0" w:name="_y31cix2r23vv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Comparison to Dense Models:</w:t>
      </w:r>
    </w:p>
    <w:tbl>
      <w:tblPr>
        <w:tblStyle w:val="Table1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80"/>
        <w:gridCol w:w="2070"/>
        <w:gridCol w:w="1080"/>
        <w:tblGridChange w:id="0">
          <w:tblGrid>
            <w:gridCol w:w="2340"/>
            <w:gridCol w:w="1080"/>
            <w:gridCol w:w="2070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440"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440"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Dense 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440"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Mistral 8x7B (SMoE)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440"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Dense 56B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56B (8×7B)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56B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Parameters/Token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~14B (top-2)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56B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Training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Very 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Inference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Faster (sparse)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40"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Slow</w:t>
            </w:r>
          </w:p>
        </w:tc>
      </w:tr>
    </w:tbl>
    <w:p w:rsidR="00000000" w:rsidDel="00000000" w:rsidP="00000000" w:rsidRDefault="00000000" w:rsidRPr="00000000" w14:paraId="00000043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evyrqr9m4dnl" w:id="11"/>
      <w:bookmarkEnd w:id="11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4. Why Does SMoE Matter?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Democratizing Large Models</w:t>
      </w:r>
      <w:r w:rsidDel="00000000" w:rsidR="00000000" w:rsidRPr="00000000">
        <w:rPr>
          <w:sz w:val="24"/>
          <w:szCs w:val="24"/>
          <w:rtl w:val="0"/>
        </w:rPr>
        <w:t xml:space="preserve">: SMoE allows smaller teams (like Mistral AI) to train and deploy models with capabilities rivaling those of much larger dense models (e.g., 56B parameters) at a fraction of the cost.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Specialization</w:t>
      </w:r>
      <w:r w:rsidDel="00000000" w:rsidR="00000000" w:rsidRPr="00000000">
        <w:rPr>
          <w:sz w:val="24"/>
          <w:szCs w:val="24"/>
          <w:rtl w:val="0"/>
        </w:rPr>
        <w:t xml:space="preserve">: Experts can implicitly learn to handle different languages, domains, or tasks, improving generalization.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Scaling</w:t>
      </w:r>
      <w:r w:rsidDel="00000000" w:rsidR="00000000" w:rsidRPr="00000000">
        <w:rPr>
          <w:sz w:val="24"/>
          <w:szCs w:val="24"/>
          <w:rtl w:val="0"/>
        </w:rPr>
        <w:t xml:space="preserve">: SMoE is a stepping stone toward even larger models (e.g., 100B+ parameters) without proportional increases in compute.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240" w:before="360" w:line="360" w:lineRule="auto"/>
        <w:rPr>
          <w:b w:val="1"/>
          <w:bCs w:val="1"/>
          <w:color w:val="000000"/>
          <w:sz w:val="29"/>
          <w:szCs w:val="29"/>
        </w:rPr>
      </w:pPr>
      <w:bookmarkStart w:colFirst="0" w:colLast="0" w:name="_7yp1wtekhgd" w:id="12"/>
      <w:bookmarkEnd w:id="12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Further Reading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120" w:lineRule="auto"/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Mistral 8x7B Technical Blog</w:t>
        </w:r>
      </w:hyperlink>
      <w:r w:rsidDel="00000000" w:rsidR="00000000" w:rsidRPr="00000000">
        <w:rPr>
          <w:sz w:val="24"/>
          <w:szCs w:val="24"/>
          <w:rtl w:val="0"/>
        </w:rPr>
        <w:t xml:space="preserve"> (Mistral AI’s official post).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Switch Transformers (Google)</w:t>
        </w:r>
      </w:hyperlink>
      <w:r w:rsidDel="00000000" w:rsidR="00000000" w:rsidRPr="00000000">
        <w:rPr>
          <w:sz w:val="24"/>
          <w:szCs w:val="24"/>
          <w:rtl w:val="0"/>
        </w:rPr>
        <w:t xml:space="preserve"> (foundational MoE paper).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9" w:val="clear"/>
        <w:spacing w:after="12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GLaM (DeepMind)</w:t>
        </w:r>
      </w:hyperlink>
      <w:r w:rsidDel="00000000" w:rsidR="00000000" w:rsidRPr="00000000">
        <w:rPr>
          <w:sz w:val="24"/>
          <w:szCs w:val="24"/>
          <w:rtl w:val="0"/>
        </w:rPr>
        <w:t xml:space="preserve"> (another MoE variant).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a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stral.ai/news/mixtral-of-experts/" TargetMode="External"/><Relationship Id="rId7" Type="http://schemas.openxmlformats.org/officeDocument/2006/relationships/hyperlink" Target="https://arxiv.org/abs/2101.03961" TargetMode="External"/><Relationship Id="rId8" Type="http://schemas.openxmlformats.org/officeDocument/2006/relationships/hyperlink" Target="https://arxiv.org/abs/2112.069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