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A49" w:rsidRDefault="00674432">
      <w:r>
        <w:t>Introduction</w:t>
      </w:r>
    </w:p>
    <w:p w:rsidR="00000000" w:rsidRPr="006339AC" w:rsidRDefault="006339AC" w:rsidP="006339AC">
      <w:pPr>
        <w:numPr>
          <w:ilvl w:val="0"/>
          <w:numId w:val="1"/>
        </w:numPr>
      </w:pPr>
      <w:r w:rsidRPr="006339AC">
        <w:t>Open</w:t>
      </w:r>
      <w:r w:rsidR="009D5FAD" w:rsidRPr="006339AC">
        <w:t xml:space="preserve"> source, high-level programming language developed by Guido van Rossum in the late 1980s.</w:t>
      </w:r>
    </w:p>
    <w:p w:rsidR="00674432" w:rsidRDefault="00674432"/>
    <w:tbl>
      <w:tblPr>
        <w:tblW w:w="5000" w:type="pct"/>
        <w:tblCellMar>
          <w:left w:w="0" w:type="dxa"/>
          <w:right w:w="0" w:type="dxa"/>
        </w:tblCellMar>
        <w:tblLook w:val="0420" w:firstRow="1" w:lastRow="0" w:firstColumn="0" w:lastColumn="0" w:noHBand="0" w:noVBand="1"/>
      </w:tblPr>
      <w:tblGrid>
        <w:gridCol w:w="2069"/>
        <w:gridCol w:w="9019"/>
      </w:tblGrid>
      <w:tr w:rsidR="00674432" w:rsidRPr="00674432" w:rsidTr="00DC3CAA">
        <w:trPr>
          <w:trHeight w:val="584"/>
        </w:trPr>
        <w:tc>
          <w:tcPr>
            <w:tcW w:w="93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4432" w:rsidRPr="00674432" w:rsidRDefault="00184C43" w:rsidP="00DC3CAA">
            <w:r>
              <w:t>Topic</w:t>
            </w:r>
          </w:p>
        </w:tc>
        <w:tc>
          <w:tcPr>
            <w:tcW w:w="40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4432" w:rsidRPr="00674432" w:rsidRDefault="00184C43" w:rsidP="00184C43">
            <w:r>
              <w:t>Description</w:t>
            </w:r>
          </w:p>
        </w:tc>
      </w:tr>
      <w:tr w:rsidR="00674432" w:rsidRPr="00674432" w:rsidTr="00DC3CAA">
        <w:trPr>
          <w:trHeight w:val="584"/>
        </w:trPr>
        <w:tc>
          <w:tcPr>
            <w:tcW w:w="93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 xml:space="preserve">Less learning time </w:t>
            </w:r>
          </w:p>
        </w:tc>
        <w:tc>
          <w:tcPr>
            <w:tcW w:w="406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Python is relatively easy to learn. Many find Python a good first language for learning programming because it uses simple syntax and shorter codes</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high-level language</w:t>
            </w:r>
          </w:p>
        </w:tc>
        <w:tc>
          <w:tcPr>
            <w:tcW w:w="40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Reading and writing codes in Python is much like reading and writing regular English statements</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interpreted language</w:t>
            </w:r>
          </w:p>
        </w:tc>
        <w:tc>
          <w:tcPr>
            <w:tcW w:w="40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This means that every time a program is run, its interpreter runs through the code and translates it into machine-readable byte code.</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 xml:space="preserve">object-oriented </w:t>
            </w:r>
          </w:p>
        </w:tc>
        <w:tc>
          <w:tcPr>
            <w:tcW w:w="40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that allows users to manage and control data structures or objects to create and run programs</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 xml:space="preserve">First class </w:t>
            </w:r>
          </w:p>
        </w:tc>
        <w:tc>
          <w:tcPr>
            <w:tcW w:w="40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Everything in Python is, in fact, first class. All objects, data types, functions, methods, and classes take equal position in Python</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 xml:space="preserve">Readability </w:t>
            </w:r>
          </w:p>
        </w:tc>
        <w:tc>
          <w:tcPr>
            <w:tcW w:w="40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Python programs use clear, simple, and concise instructions that are easy to read even by those who have no substantial programming background. Programs written in Python are, therefore, easier to maintain, debug, or enhance</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 xml:space="preserve">Higher productivity </w:t>
            </w:r>
          </w:p>
        </w:tc>
        <w:tc>
          <w:tcPr>
            <w:tcW w:w="40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Codes used in Python are considerably shorter, simpler, and less verbose than other high level programming languages such as Java and C++. In addition, it has well-designed built-in features and standard library as well as access to third party modules and source libraries. These features make programming in Python more efficient</w:t>
            </w:r>
          </w:p>
        </w:tc>
      </w:tr>
      <w:tr w:rsidR="00674432" w:rsidRPr="00674432" w:rsidTr="00FD1E1F">
        <w:trPr>
          <w:trHeight w:val="584"/>
        </w:trPr>
        <w:tc>
          <w:tcPr>
            <w:tcW w:w="933" w:type="pct"/>
            <w:tcBorders>
              <w:top w:val="single" w:sz="8" w:space="0" w:color="FFFFFF"/>
              <w:left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 xml:space="preserve">Platform independent </w:t>
            </w:r>
          </w:p>
        </w:tc>
        <w:tc>
          <w:tcPr>
            <w:tcW w:w="4067" w:type="pct"/>
            <w:tcBorders>
              <w:top w:val="single" w:sz="8" w:space="0" w:color="FFFFFF"/>
              <w:left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Runs across different platforms .Python works on Windows, Linux/UNIX, Mac OS X, other operating systems and small form devices. It also runs on microcontrollers used in appliances, toys, remote controls, embedded devices, and other similar devices and use to create games, write GUIs, and develop web applications.</w:t>
            </w:r>
          </w:p>
        </w:tc>
      </w:tr>
    </w:tbl>
    <w:p w:rsidR="00674432" w:rsidRDefault="00674432"/>
    <w:p w:rsidR="00CD1642" w:rsidRDefault="00CD1642"/>
    <w:p w:rsidR="00CD1642" w:rsidRDefault="00CD1642"/>
    <w:p w:rsidR="00CD1642" w:rsidRDefault="00CD1642"/>
    <w:p w:rsidR="00CD1642" w:rsidRDefault="00CD1642"/>
    <w:p w:rsidR="00CD1642" w:rsidRDefault="00CD1642"/>
    <w:p w:rsidR="00CD1642" w:rsidRPr="00FF2AAB" w:rsidRDefault="00FF2AAB" w:rsidP="008B68BE">
      <w:pPr>
        <w:jc w:val="center"/>
        <w:rPr>
          <w:sz w:val="36"/>
          <w:szCs w:val="36"/>
        </w:rPr>
      </w:pPr>
      <w:r w:rsidRPr="00FF2AAB">
        <w:rPr>
          <w:rFonts w:asciiTheme="majorHAnsi" w:eastAsiaTheme="majorEastAsia" w:hAnsi="Calibri" w:cstheme="majorBidi"/>
          <w:color w:val="000000" w:themeColor="text1"/>
          <w:kern w:val="24"/>
          <w:sz w:val="36"/>
          <w:szCs w:val="36"/>
        </w:rPr>
        <w:lastRenderedPageBreak/>
        <w:t xml:space="preserve">Syntax </w:t>
      </w:r>
      <w:r w:rsidRPr="00FF2AAB">
        <w:rPr>
          <w:rFonts w:asciiTheme="majorHAnsi" w:eastAsiaTheme="majorEastAsia" w:hAnsi="Calibri" w:cstheme="majorBidi"/>
          <w:color w:val="000000" w:themeColor="text1"/>
          <w:kern w:val="24"/>
          <w:sz w:val="36"/>
          <w:szCs w:val="36"/>
        </w:rPr>
        <w:t>–</w:t>
      </w:r>
      <w:r w:rsidRPr="00FF2AAB">
        <w:rPr>
          <w:rFonts w:asciiTheme="majorHAnsi" w:eastAsiaTheme="majorEastAsia" w:hAnsi="Calibri" w:cstheme="majorBidi"/>
          <w:color w:val="000000" w:themeColor="text1"/>
          <w:kern w:val="24"/>
          <w:sz w:val="36"/>
          <w:szCs w:val="36"/>
        </w:rPr>
        <w:t xml:space="preserve"> Keywords</w:t>
      </w:r>
    </w:p>
    <w:tbl>
      <w:tblPr>
        <w:tblStyle w:val="LightShading-Accent1"/>
        <w:tblW w:w="11016" w:type="dxa"/>
        <w:tblLook w:val="00A0" w:firstRow="1" w:lastRow="0" w:firstColumn="1" w:lastColumn="0" w:noHBand="0" w:noVBand="0"/>
      </w:tblPr>
      <w:tblGrid>
        <w:gridCol w:w="3672"/>
        <w:gridCol w:w="3672"/>
        <w:gridCol w:w="3672"/>
      </w:tblGrid>
      <w:tr w:rsidR="00CD1642" w:rsidTr="00FD1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t xml:space="preserve">  </w:t>
            </w:r>
            <w:r w:rsidRPr="00CD1642">
              <w:rPr>
                <w:color w:val="auto"/>
              </w:rPr>
              <w:t>import</w:t>
            </w:r>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while</w:t>
            </w:r>
          </w:p>
        </w:tc>
        <w:tc>
          <w:tcPr>
            <w:tcW w:w="3672" w:type="dxa"/>
          </w:tcPr>
          <w:p w:rsidR="00CD1642" w:rsidRPr="00CD1642" w:rsidRDefault="00CD1642" w:rsidP="00CD1642">
            <w:pPr>
              <w:spacing w:after="200" w:line="276" w:lineRule="auto"/>
              <w:cnfStyle w:val="100000000000" w:firstRow="1" w:lastRow="0" w:firstColumn="0" w:lastColumn="0" w:oddVBand="0" w:evenVBand="0" w:oddHBand="0" w:evenHBand="0" w:firstRowFirstColumn="0" w:firstRowLastColumn="0" w:lastRowFirstColumn="0" w:lastRowLastColumn="0"/>
              <w:rPr>
                <w:color w:val="auto"/>
              </w:rPr>
            </w:pPr>
            <w:r w:rsidRPr="00CD1642">
              <w:rPr>
                <w:color w:val="auto"/>
              </w:rPr>
              <w:t xml:space="preserve">global  </w:t>
            </w:r>
          </w:p>
        </w:tc>
      </w:tr>
      <w:tr w:rsidR="00CD1642" w:rsidTr="00FD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proofErr w:type="spellStart"/>
            <w:r w:rsidRPr="00CD1642">
              <w:rPr>
                <w:color w:val="auto"/>
              </w:rPr>
              <w:t>def</w:t>
            </w:r>
            <w:proofErr w:type="spellEnd"/>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class</w:t>
            </w:r>
          </w:p>
        </w:tc>
        <w:tc>
          <w:tcPr>
            <w:tcW w:w="3672" w:type="dxa"/>
          </w:tcPr>
          <w:p w:rsidR="00CD1642" w:rsidRPr="00CD1642" w:rsidRDefault="00CD1642" w:rsidP="00CD1642">
            <w:p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CD1642">
              <w:rPr>
                <w:color w:val="auto"/>
              </w:rPr>
              <w:t>in</w:t>
            </w:r>
          </w:p>
        </w:tc>
      </w:tr>
      <w:tr w:rsidR="00CD1642" w:rsidTr="00FD1E1F">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print</w:t>
            </w:r>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and</w:t>
            </w:r>
          </w:p>
        </w:tc>
        <w:tc>
          <w:tcPr>
            <w:tcW w:w="3672" w:type="dxa"/>
          </w:tcPr>
          <w:p w:rsidR="00CD1642" w:rsidRPr="00CD1642" w:rsidRDefault="00CD1642" w:rsidP="00CD1642">
            <w:pPr>
              <w:spacing w:after="200" w:line="276" w:lineRule="auto"/>
              <w:cnfStyle w:val="000000000000" w:firstRow="0" w:lastRow="0" w:firstColumn="0" w:lastColumn="0" w:oddVBand="0" w:evenVBand="0" w:oddHBand="0" w:evenHBand="0" w:firstRowFirstColumn="0" w:firstRowLastColumn="0" w:lastRowFirstColumn="0" w:lastRowLastColumn="0"/>
              <w:rPr>
                <w:color w:val="auto"/>
              </w:rPr>
            </w:pPr>
            <w:r w:rsidRPr="00CD1642">
              <w:rPr>
                <w:color w:val="auto"/>
              </w:rPr>
              <w:t>is</w:t>
            </w:r>
          </w:p>
        </w:tc>
      </w:tr>
      <w:tr w:rsidR="00CD1642" w:rsidTr="00FD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if</w:t>
            </w:r>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assert</w:t>
            </w:r>
          </w:p>
        </w:tc>
        <w:tc>
          <w:tcPr>
            <w:tcW w:w="3672" w:type="dxa"/>
          </w:tcPr>
          <w:p w:rsidR="00CD1642" w:rsidRPr="00CD1642" w:rsidRDefault="00CD1642" w:rsidP="00CD1642">
            <w:p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CD1642">
              <w:rPr>
                <w:color w:val="auto"/>
              </w:rPr>
              <w:t>lambda</w:t>
            </w:r>
          </w:p>
        </w:tc>
      </w:tr>
      <w:tr w:rsidR="00CD1642" w:rsidTr="00FD1E1F">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else</w:t>
            </w:r>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del</w:t>
            </w:r>
          </w:p>
        </w:tc>
        <w:tc>
          <w:tcPr>
            <w:tcW w:w="3672" w:type="dxa"/>
          </w:tcPr>
          <w:p w:rsidR="00CD1642" w:rsidRPr="00CD1642" w:rsidRDefault="00CD1642" w:rsidP="00CD1642">
            <w:pPr>
              <w:spacing w:after="200" w:line="276" w:lineRule="auto"/>
              <w:cnfStyle w:val="000000000000" w:firstRow="0" w:lastRow="0" w:firstColumn="0" w:lastColumn="0" w:oddVBand="0" w:evenVBand="0" w:oddHBand="0" w:evenHBand="0" w:firstRowFirstColumn="0" w:firstRowLastColumn="0" w:lastRowFirstColumn="0" w:lastRowLastColumn="0"/>
              <w:rPr>
                <w:color w:val="auto"/>
              </w:rPr>
            </w:pPr>
            <w:r w:rsidRPr="00CD1642">
              <w:rPr>
                <w:color w:val="auto"/>
              </w:rPr>
              <w:t>not</w:t>
            </w:r>
          </w:p>
        </w:tc>
      </w:tr>
      <w:tr w:rsidR="00CD1642" w:rsidTr="00FD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proofErr w:type="spellStart"/>
            <w:r w:rsidRPr="00CD1642">
              <w:rPr>
                <w:color w:val="auto"/>
              </w:rPr>
              <w:t>elif</w:t>
            </w:r>
            <w:proofErr w:type="spellEnd"/>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except</w:t>
            </w:r>
          </w:p>
        </w:tc>
        <w:tc>
          <w:tcPr>
            <w:tcW w:w="3672" w:type="dxa"/>
          </w:tcPr>
          <w:p w:rsidR="00CD1642" w:rsidRPr="00CD1642" w:rsidRDefault="00CD1642" w:rsidP="00CD1642">
            <w:p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CD1642">
              <w:rPr>
                <w:color w:val="auto"/>
              </w:rPr>
              <w:t>or</w:t>
            </w:r>
          </w:p>
        </w:tc>
      </w:tr>
      <w:tr w:rsidR="00CD1642" w:rsidTr="00FD1E1F">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for</w:t>
            </w:r>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exec</w:t>
            </w:r>
          </w:p>
        </w:tc>
        <w:tc>
          <w:tcPr>
            <w:tcW w:w="3672" w:type="dxa"/>
          </w:tcPr>
          <w:p w:rsidR="00CD1642" w:rsidRPr="00CD1642" w:rsidRDefault="00CD1642" w:rsidP="00CD1642">
            <w:pPr>
              <w:spacing w:after="200" w:line="276" w:lineRule="auto"/>
              <w:cnfStyle w:val="000000000000" w:firstRow="0" w:lastRow="0" w:firstColumn="0" w:lastColumn="0" w:oddVBand="0" w:evenVBand="0" w:oddHBand="0" w:evenHBand="0" w:firstRowFirstColumn="0" w:firstRowLastColumn="0" w:lastRowFirstColumn="0" w:lastRowLastColumn="0"/>
              <w:rPr>
                <w:color w:val="auto"/>
              </w:rPr>
            </w:pPr>
            <w:r w:rsidRPr="00CD1642">
              <w:rPr>
                <w:color w:val="auto"/>
              </w:rPr>
              <w:t>pass</w:t>
            </w:r>
          </w:p>
        </w:tc>
      </w:tr>
      <w:tr w:rsidR="00CD1642" w:rsidTr="00FD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break</w:t>
            </w:r>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try</w:t>
            </w:r>
          </w:p>
        </w:tc>
        <w:tc>
          <w:tcPr>
            <w:tcW w:w="3672" w:type="dxa"/>
          </w:tcPr>
          <w:p w:rsidR="00CD1642" w:rsidRPr="00CD1642" w:rsidRDefault="00CD1642" w:rsidP="00CD1642">
            <w:p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CD1642">
              <w:rPr>
                <w:color w:val="auto"/>
              </w:rPr>
              <w:t>raise</w:t>
            </w:r>
          </w:p>
        </w:tc>
      </w:tr>
      <w:tr w:rsidR="00CD1642" w:rsidTr="00FD1E1F">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Continue</w:t>
            </w:r>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finally</w:t>
            </w:r>
          </w:p>
        </w:tc>
        <w:tc>
          <w:tcPr>
            <w:tcW w:w="3672" w:type="dxa"/>
          </w:tcPr>
          <w:p w:rsidR="00CD1642" w:rsidRPr="00CD1642" w:rsidRDefault="00CD1642" w:rsidP="00CD1642">
            <w:pPr>
              <w:spacing w:after="200" w:line="276" w:lineRule="auto"/>
              <w:cnfStyle w:val="000000000000" w:firstRow="0" w:lastRow="0" w:firstColumn="0" w:lastColumn="0" w:oddVBand="0" w:evenVBand="0" w:oddHBand="0" w:evenHBand="0" w:firstRowFirstColumn="0" w:firstRowLastColumn="0" w:lastRowFirstColumn="0" w:lastRowLastColumn="0"/>
              <w:rPr>
                <w:color w:val="auto"/>
              </w:rPr>
            </w:pPr>
            <w:r w:rsidRPr="00CD1642">
              <w:rPr>
                <w:color w:val="auto"/>
              </w:rPr>
              <w:t>with</w:t>
            </w:r>
          </w:p>
        </w:tc>
      </w:tr>
      <w:tr w:rsidR="00CD1642" w:rsidTr="00FD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return</w:t>
            </w:r>
          </w:p>
        </w:tc>
        <w:tc>
          <w:tcPr>
            <w:cnfStyle w:val="000010000000" w:firstRow="0" w:lastRow="0" w:firstColumn="0" w:lastColumn="0" w:oddVBand="1" w:evenVBand="0" w:oddHBand="0" w:evenHBand="0" w:firstRowFirstColumn="0" w:firstRowLastColumn="0" w:lastRowFirstColumn="0" w:lastRowLastColumn="0"/>
            <w:tcW w:w="3672" w:type="dxa"/>
          </w:tcPr>
          <w:p w:rsidR="00CD1642" w:rsidRPr="00CD1642" w:rsidRDefault="00CD1642" w:rsidP="00CD1642">
            <w:pPr>
              <w:spacing w:after="200" w:line="276" w:lineRule="auto"/>
              <w:rPr>
                <w:color w:val="auto"/>
              </w:rPr>
            </w:pPr>
            <w:r w:rsidRPr="00CD1642">
              <w:rPr>
                <w:color w:val="auto"/>
              </w:rPr>
              <w:t>from</w:t>
            </w:r>
          </w:p>
        </w:tc>
        <w:tc>
          <w:tcPr>
            <w:tcW w:w="3672" w:type="dxa"/>
          </w:tcPr>
          <w:p w:rsidR="00CD1642" w:rsidRPr="00CD1642" w:rsidRDefault="00CD1642" w:rsidP="00CD1642">
            <w:p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CD1642">
              <w:rPr>
                <w:color w:val="auto"/>
              </w:rPr>
              <w:t>yield</w:t>
            </w:r>
          </w:p>
        </w:tc>
      </w:tr>
    </w:tbl>
    <w:p w:rsidR="00CD1642" w:rsidRDefault="00CD1642"/>
    <w:p w:rsidR="00CD1642" w:rsidRDefault="00CD1642"/>
    <w:p w:rsidR="00CD1642" w:rsidRPr="008B68BE" w:rsidRDefault="00B345C0" w:rsidP="008B68BE">
      <w:pPr>
        <w:jc w:val="center"/>
        <w:rPr>
          <w:rFonts w:asciiTheme="majorHAnsi" w:eastAsiaTheme="majorEastAsia" w:hAnsi="Calibri" w:cstheme="majorBidi"/>
          <w:color w:val="000000" w:themeColor="text1"/>
          <w:kern w:val="24"/>
          <w:sz w:val="36"/>
          <w:szCs w:val="36"/>
        </w:rPr>
      </w:pPr>
      <w:r w:rsidRPr="008B68BE">
        <w:rPr>
          <w:rFonts w:asciiTheme="majorHAnsi" w:eastAsiaTheme="majorEastAsia" w:hAnsi="Calibri" w:cstheme="majorBidi"/>
          <w:color w:val="000000" w:themeColor="text1"/>
          <w:kern w:val="24"/>
          <w:sz w:val="36"/>
          <w:szCs w:val="36"/>
        </w:rPr>
        <w:t xml:space="preserve">Syntax </w:t>
      </w:r>
      <w:r w:rsidRPr="008B68BE">
        <w:rPr>
          <w:rFonts w:asciiTheme="majorHAnsi" w:eastAsiaTheme="majorEastAsia" w:hAnsi="Calibri" w:cstheme="majorBidi"/>
          <w:color w:val="000000" w:themeColor="text1"/>
          <w:kern w:val="24"/>
          <w:sz w:val="36"/>
          <w:szCs w:val="36"/>
        </w:rPr>
        <w:t>–</w:t>
      </w:r>
      <w:r w:rsidRPr="008B68BE">
        <w:rPr>
          <w:rFonts w:asciiTheme="majorHAnsi" w:eastAsiaTheme="majorEastAsia" w:hAnsi="Calibri" w:cstheme="majorBidi"/>
          <w:color w:val="000000" w:themeColor="text1"/>
          <w:kern w:val="24"/>
          <w:sz w:val="36"/>
          <w:szCs w:val="36"/>
        </w:rPr>
        <w:t xml:space="preserve"> Identifiers rules</w:t>
      </w:r>
    </w:p>
    <w:tbl>
      <w:tblPr>
        <w:tblStyle w:val="LightShading-Accent1"/>
        <w:tblW w:w="0" w:type="auto"/>
        <w:tblLook w:val="04A0" w:firstRow="1" w:lastRow="0" w:firstColumn="1" w:lastColumn="0" w:noHBand="0" w:noVBand="1"/>
      </w:tblPr>
      <w:tblGrid>
        <w:gridCol w:w="11016"/>
      </w:tblGrid>
      <w:tr w:rsidR="00B345C0" w:rsidTr="008B6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B345C0" w:rsidRDefault="00B345C0" w:rsidP="00A6164A">
            <w:pPr>
              <w:spacing w:after="200" w:line="276" w:lineRule="auto"/>
            </w:pPr>
            <w:r>
              <w:t>An identifier can be a combination of uppercase letters, lowercase letters, underscores,</w:t>
            </w:r>
            <w:r w:rsidR="008B68BE">
              <w:t xml:space="preserve"> </w:t>
            </w:r>
            <w:r>
              <w:t xml:space="preserve">and digits (0-9). Hence, the following are valid identifiers: </w:t>
            </w:r>
            <w:proofErr w:type="spellStart"/>
            <w:r>
              <w:t>myClass</w:t>
            </w:r>
            <w:proofErr w:type="spellEnd"/>
            <w:r>
              <w:t xml:space="preserve">, </w:t>
            </w:r>
            <w:proofErr w:type="spellStart"/>
            <w:r>
              <w:t>my_variable</w:t>
            </w:r>
            <w:proofErr w:type="spellEnd"/>
            <w:r>
              <w:t>,</w:t>
            </w:r>
            <w:r w:rsidR="008B68BE">
              <w:t xml:space="preserve"> </w:t>
            </w:r>
            <w:r>
              <w:t xml:space="preserve">var_1, and </w:t>
            </w:r>
            <w:proofErr w:type="spellStart"/>
            <w:r>
              <w:t>print_hello_world</w:t>
            </w:r>
            <w:proofErr w:type="spellEnd"/>
            <w:r>
              <w:t>.</w:t>
            </w:r>
          </w:p>
        </w:tc>
      </w:tr>
      <w:tr w:rsidR="00B345C0" w:rsidTr="008B6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B345C0" w:rsidRDefault="00B345C0" w:rsidP="00A6164A">
            <w:pPr>
              <w:spacing w:after="200" w:line="276" w:lineRule="auto"/>
            </w:pPr>
            <w:r w:rsidRPr="00B345C0">
              <w:t>Special characters such as %, @, and $ are not allowed within identifiers.</w:t>
            </w:r>
          </w:p>
        </w:tc>
      </w:tr>
      <w:tr w:rsidR="00B345C0" w:rsidTr="008B68BE">
        <w:tc>
          <w:tcPr>
            <w:cnfStyle w:val="001000000000" w:firstRow="0" w:lastRow="0" w:firstColumn="1" w:lastColumn="0" w:oddVBand="0" w:evenVBand="0" w:oddHBand="0" w:evenHBand="0" w:firstRowFirstColumn="0" w:firstRowLastColumn="0" w:lastRowFirstColumn="0" w:lastRowLastColumn="0"/>
            <w:tcW w:w="11016" w:type="dxa"/>
          </w:tcPr>
          <w:p w:rsidR="00B345C0" w:rsidRDefault="00B345C0" w:rsidP="00A6164A">
            <w:pPr>
              <w:spacing w:after="200" w:line="276" w:lineRule="auto"/>
            </w:pPr>
            <w:r>
              <w:t>An identifier should not begin with a number. Hence, 2variable is not valid, but</w:t>
            </w:r>
            <w:r w:rsidR="008B68BE">
              <w:t xml:space="preserve"> </w:t>
            </w:r>
            <w:r>
              <w:t>variable2 is acceptable.</w:t>
            </w:r>
          </w:p>
        </w:tc>
      </w:tr>
      <w:tr w:rsidR="00B345C0" w:rsidTr="008B6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B345C0" w:rsidRDefault="00B345C0" w:rsidP="00A6164A">
            <w:pPr>
              <w:spacing w:after="200" w:line="276" w:lineRule="auto"/>
            </w:pPr>
            <w:r>
              <w:t>Python is a case-sensitive language and this behavior extends to identifiers. Thus,</w:t>
            </w:r>
            <w:r w:rsidR="008B68BE">
              <w:t xml:space="preserve"> </w:t>
            </w:r>
            <w:r>
              <w:t>Labor and labor are two distinct identifiers in Python.</w:t>
            </w:r>
          </w:p>
        </w:tc>
      </w:tr>
      <w:tr w:rsidR="00B345C0" w:rsidTr="008B68BE">
        <w:tc>
          <w:tcPr>
            <w:cnfStyle w:val="001000000000" w:firstRow="0" w:lastRow="0" w:firstColumn="1" w:lastColumn="0" w:oddVBand="0" w:evenVBand="0" w:oddHBand="0" w:evenHBand="0" w:firstRowFirstColumn="0" w:firstRowLastColumn="0" w:lastRowFirstColumn="0" w:lastRowLastColumn="0"/>
            <w:tcW w:w="11016" w:type="dxa"/>
          </w:tcPr>
          <w:p w:rsidR="00B345C0" w:rsidRDefault="00B345C0" w:rsidP="00A6164A">
            <w:pPr>
              <w:spacing w:after="200" w:line="276" w:lineRule="auto"/>
            </w:pPr>
            <w:r w:rsidRPr="00B345C0">
              <w:t>You cannot use Python keywords as identifiers.</w:t>
            </w:r>
          </w:p>
        </w:tc>
      </w:tr>
      <w:tr w:rsidR="00B345C0" w:rsidTr="008B6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B345C0" w:rsidRDefault="00B345C0" w:rsidP="00A6164A">
            <w:pPr>
              <w:spacing w:after="200" w:line="276" w:lineRule="auto"/>
            </w:pPr>
            <w:r>
              <w:t>Class identifiers begin with an uppercase letter, but the rest of the identifiers begin in</w:t>
            </w:r>
            <w:r w:rsidR="008B68BE">
              <w:t xml:space="preserve"> </w:t>
            </w:r>
            <w:r>
              <w:t>lowercase.</w:t>
            </w:r>
          </w:p>
        </w:tc>
      </w:tr>
      <w:tr w:rsidR="00B345C0" w:rsidTr="008B68BE">
        <w:tc>
          <w:tcPr>
            <w:cnfStyle w:val="001000000000" w:firstRow="0" w:lastRow="0" w:firstColumn="1" w:lastColumn="0" w:oddVBand="0" w:evenVBand="0" w:oddHBand="0" w:evenHBand="0" w:firstRowFirstColumn="0" w:firstRowLastColumn="0" w:lastRowFirstColumn="0" w:lastRowLastColumn="0"/>
            <w:tcW w:w="11016" w:type="dxa"/>
          </w:tcPr>
          <w:p w:rsidR="00B345C0" w:rsidRDefault="00B345C0" w:rsidP="00A6164A">
            <w:pPr>
              <w:spacing w:after="200" w:line="276" w:lineRule="auto"/>
            </w:pPr>
            <w:r>
              <w:t>You can use underscores to separate multiple words in your identifier</w:t>
            </w:r>
          </w:p>
        </w:tc>
      </w:tr>
    </w:tbl>
    <w:p w:rsidR="00B345C0" w:rsidRDefault="00B345C0"/>
    <w:p w:rsidR="00CD1642" w:rsidRDefault="00CD1642">
      <w:bookmarkStart w:id="0" w:name="_GoBack"/>
      <w:bookmarkEnd w:id="0"/>
    </w:p>
    <w:p w:rsidR="00CD1642" w:rsidRDefault="00CD1642"/>
    <w:p w:rsidR="00CD1642" w:rsidRDefault="00CD1642"/>
    <w:p w:rsidR="00CD1642" w:rsidRDefault="00CD1642"/>
    <w:p w:rsidR="00CD1642" w:rsidRDefault="00CD1642"/>
    <w:sectPr w:rsidR="00CD1642" w:rsidSect="00CD164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552C3"/>
    <w:multiLevelType w:val="hybridMultilevel"/>
    <w:tmpl w:val="A06E39E2"/>
    <w:lvl w:ilvl="0" w:tplc="0E9AB096">
      <w:start w:val="1"/>
      <w:numFmt w:val="bullet"/>
      <w:lvlText w:val="•"/>
      <w:lvlJc w:val="left"/>
      <w:pPr>
        <w:tabs>
          <w:tab w:val="num" w:pos="720"/>
        </w:tabs>
        <w:ind w:left="720" w:hanging="360"/>
      </w:pPr>
      <w:rPr>
        <w:rFonts w:ascii="Arial" w:hAnsi="Arial" w:hint="default"/>
      </w:rPr>
    </w:lvl>
    <w:lvl w:ilvl="1" w:tplc="F98C320C" w:tentative="1">
      <w:start w:val="1"/>
      <w:numFmt w:val="bullet"/>
      <w:lvlText w:val="•"/>
      <w:lvlJc w:val="left"/>
      <w:pPr>
        <w:tabs>
          <w:tab w:val="num" w:pos="1440"/>
        </w:tabs>
        <w:ind w:left="1440" w:hanging="360"/>
      </w:pPr>
      <w:rPr>
        <w:rFonts w:ascii="Arial" w:hAnsi="Arial" w:hint="default"/>
      </w:rPr>
    </w:lvl>
    <w:lvl w:ilvl="2" w:tplc="4B72A4E8" w:tentative="1">
      <w:start w:val="1"/>
      <w:numFmt w:val="bullet"/>
      <w:lvlText w:val="•"/>
      <w:lvlJc w:val="left"/>
      <w:pPr>
        <w:tabs>
          <w:tab w:val="num" w:pos="2160"/>
        </w:tabs>
        <w:ind w:left="2160" w:hanging="360"/>
      </w:pPr>
      <w:rPr>
        <w:rFonts w:ascii="Arial" w:hAnsi="Arial" w:hint="default"/>
      </w:rPr>
    </w:lvl>
    <w:lvl w:ilvl="3" w:tplc="FF48F2BA" w:tentative="1">
      <w:start w:val="1"/>
      <w:numFmt w:val="bullet"/>
      <w:lvlText w:val="•"/>
      <w:lvlJc w:val="left"/>
      <w:pPr>
        <w:tabs>
          <w:tab w:val="num" w:pos="2880"/>
        </w:tabs>
        <w:ind w:left="2880" w:hanging="360"/>
      </w:pPr>
      <w:rPr>
        <w:rFonts w:ascii="Arial" w:hAnsi="Arial" w:hint="default"/>
      </w:rPr>
    </w:lvl>
    <w:lvl w:ilvl="4" w:tplc="49D62C68" w:tentative="1">
      <w:start w:val="1"/>
      <w:numFmt w:val="bullet"/>
      <w:lvlText w:val="•"/>
      <w:lvlJc w:val="left"/>
      <w:pPr>
        <w:tabs>
          <w:tab w:val="num" w:pos="3600"/>
        </w:tabs>
        <w:ind w:left="3600" w:hanging="360"/>
      </w:pPr>
      <w:rPr>
        <w:rFonts w:ascii="Arial" w:hAnsi="Arial" w:hint="default"/>
      </w:rPr>
    </w:lvl>
    <w:lvl w:ilvl="5" w:tplc="F52086B4" w:tentative="1">
      <w:start w:val="1"/>
      <w:numFmt w:val="bullet"/>
      <w:lvlText w:val="•"/>
      <w:lvlJc w:val="left"/>
      <w:pPr>
        <w:tabs>
          <w:tab w:val="num" w:pos="4320"/>
        </w:tabs>
        <w:ind w:left="4320" w:hanging="360"/>
      </w:pPr>
      <w:rPr>
        <w:rFonts w:ascii="Arial" w:hAnsi="Arial" w:hint="default"/>
      </w:rPr>
    </w:lvl>
    <w:lvl w:ilvl="6" w:tplc="0628990E" w:tentative="1">
      <w:start w:val="1"/>
      <w:numFmt w:val="bullet"/>
      <w:lvlText w:val="•"/>
      <w:lvlJc w:val="left"/>
      <w:pPr>
        <w:tabs>
          <w:tab w:val="num" w:pos="5040"/>
        </w:tabs>
        <w:ind w:left="5040" w:hanging="360"/>
      </w:pPr>
      <w:rPr>
        <w:rFonts w:ascii="Arial" w:hAnsi="Arial" w:hint="default"/>
      </w:rPr>
    </w:lvl>
    <w:lvl w:ilvl="7" w:tplc="4A724C84" w:tentative="1">
      <w:start w:val="1"/>
      <w:numFmt w:val="bullet"/>
      <w:lvlText w:val="•"/>
      <w:lvlJc w:val="left"/>
      <w:pPr>
        <w:tabs>
          <w:tab w:val="num" w:pos="5760"/>
        </w:tabs>
        <w:ind w:left="5760" w:hanging="360"/>
      </w:pPr>
      <w:rPr>
        <w:rFonts w:ascii="Arial" w:hAnsi="Arial" w:hint="default"/>
      </w:rPr>
    </w:lvl>
    <w:lvl w:ilvl="8" w:tplc="E3220FD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156"/>
    <w:rsid w:val="00184C43"/>
    <w:rsid w:val="006339AC"/>
    <w:rsid w:val="00674432"/>
    <w:rsid w:val="00704A97"/>
    <w:rsid w:val="00863156"/>
    <w:rsid w:val="008B68BE"/>
    <w:rsid w:val="009D5FAD"/>
    <w:rsid w:val="00A6164A"/>
    <w:rsid w:val="00A73A49"/>
    <w:rsid w:val="00B345C0"/>
    <w:rsid w:val="00CD1642"/>
    <w:rsid w:val="00FD1E1F"/>
    <w:rsid w:val="00FF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D1E1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D1E1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7163">
      <w:bodyDiv w:val="1"/>
      <w:marLeft w:val="0"/>
      <w:marRight w:val="0"/>
      <w:marTop w:val="0"/>
      <w:marBottom w:val="0"/>
      <w:divBdr>
        <w:top w:val="none" w:sz="0" w:space="0" w:color="auto"/>
        <w:left w:val="none" w:sz="0" w:space="0" w:color="auto"/>
        <w:bottom w:val="none" w:sz="0" w:space="0" w:color="auto"/>
        <w:right w:val="none" w:sz="0" w:space="0" w:color="auto"/>
      </w:divBdr>
    </w:div>
    <w:div w:id="433286614">
      <w:bodyDiv w:val="1"/>
      <w:marLeft w:val="0"/>
      <w:marRight w:val="0"/>
      <w:marTop w:val="0"/>
      <w:marBottom w:val="0"/>
      <w:divBdr>
        <w:top w:val="none" w:sz="0" w:space="0" w:color="auto"/>
        <w:left w:val="none" w:sz="0" w:space="0" w:color="auto"/>
        <w:bottom w:val="none" w:sz="0" w:space="0" w:color="auto"/>
        <w:right w:val="none" w:sz="0" w:space="0" w:color="auto"/>
      </w:divBdr>
      <w:divsChild>
        <w:div w:id="551426788">
          <w:marLeft w:val="547"/>
          <w:marRight w:val="0"/>
          <w:marTop w:val="77"/>
          <w:marBottom w:val="0"/>
          <w:divBdr>
            <w:top w:val="none" w:sz="0" w:space="0" w:color="auto"/>
            <w:left w:val="none" w:sz="0" w:space="0" w:color="auto"/>
            <w:bottom w:val="none" w:sz="0" w:space="0" w:color="auto"/>
            <w:right w:val="none" w:sz="0" w:space="0" w:color="auto"/>
          </w:divBdr>
        </w:div>
      </w:divsChild>
    </w:div>
    <w:div w:id="483590681">
      <w:bodyDiv w:val="1"/>
      <w:marLeft w:val="0"/>
      <w:marRight w:val="0"/>
      <w:marTop w:val="0"/>
      <w:marBottom w:val="0"/>
      <w:divBdr>
        <w:top w:val="none" w:sz="0" w:space="0" w:color="auto"/>
        <w:left w:val="none" w:sz="0" w:space="0" w:color="auto"/>
        <w:bottom w:val="none" w:sz="0" w:space="0" w:color="auto"/>
        <w:right w:val="none" w:sz="0" w:space="0" w:color="auto"/>
      </w:divBdr>
    </w:div>
    <w:div w:id="504248841">
      <w:bodyDiv w:val="1"/>
      <w:marLeft w:val="0"/>
      <w:marRight w:val="0"/>
      <w:marTop w:val="0"/>
      <w:marBottom w:val="0"/>
      <w:divBdr>
        <w:top w:val="none" w:sz="0" w:space="0" w:color="auto"/>
        <w:left w:val="none" w:sz="0" w:space="0" w:color="auto"/>
        <w:bottom w:val="none" w:sz="0" w:space="0" w:color="auto"/>
        <w:right w:val="none" w:sz="0" w:space="0" w:color="auto"/>
      </w:divBdr>
    </w:div>
    <w:div w:id="645202915">
      <w:bodyDiv w:val="1"/>
      <w:marLeft w:val="0"/>
      <w:marRight w:val="0"/>
      <w:marTop w:val="0"/>
      <w:marBottom w:val="0"/>
      <w:divBdr>
        <w:top w:val="none" w:sz="0" w:space="0" w:color="auto"/>
        <w:left w:val="none" w:sz="0" w:space="0" w:color="auto"/>
        <w:bottom w:val="none" w:sz="0" w:space="0" w:color="auto"/>
        <w:right w:val="none" w:sz="0" w:space="0" w:color="auto"/>
      </w:divBdr>
    </w:div>
    <w:div w:id="1109276964">
      <w:bodyDiv w:val="1"/>
      <w:marLeft w:val="0"/>
      <w:marRight w:val="0"/>
      <w:marTop w:val="0"/>
      <w:marBottom w:val="0"/>
      <w:divBdr>
        <w:top w:val="none" w:sz="0" w:space="0" w:color="auto"/>
        <w:left w:val="none" w:sz="0" w:space="0" w:color="auto"/>
        <w:bottom w:val="none" w:sz="0" w:space="0" w:color="auto"/>
        <w:right w:val="none" w:sz="0" w:space="0" w:color="auto"/>
      </w:divBdr>
    </w:div>
    <w:div w:id="1972129723">
      <w:bodyDiv w:val="1"/>
      <w:marLeft w:val="0"/>
      <w:marRight w:val="0"/>
      <w:marTop w:val="0"/>
      <w:marBottom w:val="0"/>
      <w:divBdr>
        <w:top w:val="none" w:sz="0" w:space="0" w:color="auto"/>
        <w:left w:val="none" w:sz="0" w:space="0" w:color="auto"/>
        <w:bottom w:val="none" w:sz="0" w:space="0" w:color="auto"/>
        <w:right w:val="none" w:sz="0" w:space="0" w:color="auto"/>
      </w:divBdr>
    </w:div>
    <w:div w:id="20667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E22CE-CC98-4778-8682-288533466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9</cp:revision>
  <dcterms:created xsi:type="dcterms:W3CDTF">2019-11-28T09:11:00Z</dcterms:created>
  <dcterms:modified xsi:type="dcterms:W3CDTF">2019-11-28T11:21:00Z</dcterms:modified>
</cp:coreProperties>
</file>