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jc w:val="center"/>
        <w:rPr/>
      </w:pPr>
      <w:r>
        <w:rPr>
          <w:b/>
          <w:bCs/>
          <w:color w:val="888888"/>
          <w:sz w:val="18"/>
          <w:szCs w:val="18"/>
        </w:rPr>
        <w:t>ML / CS RESEARCH PROPOSAL</w:t>
      </w:r>
    </w:p>
    <w:p>
      <w:pPr>
        <w:pStyle w:val="Normal"/>
        <w:spacing w:before="0" w:after="120"/>
        <w:jc w:val="center"/>
        <w:rPr/>
      </w:pPr>
      <w:r>
        <w:rPr>
          <w:b/>
          <w:bCs/>
          <w:color w:val="1F3864"/>
          <w:sz w:val="30"/>
          <w:szCs w:val="30"/>
        </w:rPr>
        <w:t>Adaptive Key-Size Engineering for Latency-Efficient Paillier-Secured Federated Learning Aggregation in Resource-Constrained Networks</w:t>
      </w:r>
    </w:p>
    <w:p>
      <w:pPr>
        <w:pStyle w:val="Normal"/>
        <w:spacing w:before="0" w:after="160"/>
        <w:jc w:val="center"/>
        <w:rPr/>
      </w:pPr>
      <w:r>
        <w:rPr>
          <w:i/>
          <w:iCs/>
          <w:sz w:val="20"/>
          <w:szCs w:val="20"/>
        </w:rPr>
        <w:t>Engineered model: AKS-FedAvg (Adaptive Key-Size FedAvg)</w:t>
      </w:r>
    </w:p>
    <w:p>
      <w:pPr>
        <w:pStyle w:val="Heading1"/>
        <w:rPr/>
      </w:pPr>
      <w:r>
        <w:rPr/>
        <w:t>SECTION 0 — TITLE PAGE &amp; IDENTIFICATION</w:t>
      </w:r>
    </w:p>
    <w:p>
      <w:pPr>
        <w:pStyle w:val="Heading2"/>
        <w:rPr/>
      </w:pPr>
      <w:r>
        <w:rPr/>
        <w:t>0.1 Research Title</w:t>
      </w:r>
    </w:p>
    <w:p>
      <w:pPr>
        <w:pStyle w:val="Normal"/>
        <w:spacing w:before="0" w:after="100"/>
        <w:rPr/>
      </w:pPr>
      <w:r>
        <w:rPr/>
        <w:t>Full Research Title: Adaptive Key-Size Engineering for Latency-Efficient Paillier-Secured Federated Learning Aggregation in Resource-Constrained Networks (12 words).</w:t>
      </w:r>
    </w:p>
    <w:p>
      <w:pPr>
        <w:pStyle w:val="Heading3"/>
        <w:rPr/>
      </w:pPr>
      <w:r>
        <w:rPr/>
        <w:t>Keywords</w:t>
      </w:r>
    </w:p>
    <w:p>
      <w:pPr>
        <w:pStyle w:val="ListParagraph"/>
        <w:numPr>
          <w:ilvl w:val="0"/>
          <w:numId w:val="44"/>
        </w:numPr>
        <w:spacing w:before="0" w:after="30"/>
        <w:rPr/>
      </w:pPr>
      <w:r>
        <w:rPr/>
        <w:t>Keyword 1: Federated Learning</w:t>
      </w:r>
    </w:p>
    <w:p>
      <w:pPr>
        <w:pStyle w:val="ListParagraph"/>
        <w:numPr>
          <w:ilvl w:val="0"/>
          <w:numId w:val="45"/>
        </w:numPr>
        <w:spacing w:before="0" w:after="30"/>
        <w:rPr/>
      </w:pPr>
      <w:r>
        <w:rPr/>
        <w:t>Keyword 2: Paillier Homomorphic Encryption</w:t>
      </w:r>
    </w:p>
    <w:p>
      <w:pPr>
        <w:pStyle w:val="ListParagraph"/>
        <w:numPr>
          <w:ilvl w:val="0"/>
          <w:numId w:val="46"/>
        </w:numPr>
        <w:spacing w:before="0" w:after="30"/>
        <w:rPr/>
      </w:pPr>
      <w:r>
        <w:rPr/>
        <w:t>Keyword 3: Secure Aggregation</w:t>
      </w:r>
    </w:p>
    <w:p>
      <w:pPr>
        <w:pStyle w:val="ListParagraph"/>
        <w:numPr>
          <w:ilvl w:val="0"/>
          <w:numId w:val="47"/>
        </w:numPr>
        <w:spacing w:before="0" w:after="30"/>
        <w:rPr/>
      </w:pPr>
      <w:r>
        <w:rPr/>
        <w:t>Keyword 4: Adaptive Key-Size Selection (engineering term)</w:t>
      </w:r>
    </w:p>
    <w:p>
      <w:pPr>
        <w:pStyle w:val="ListParagraph"/>
        <w:numPr>
          <w:ilvl w:val="0"/>
          <w:numId w:val="48"/>
        </w:numPr>
        <w:spacing w:before="0" w:after="30"/>
        <w:rPr/>
      </w:pPr>
      <w:r>
        <w:rPr/>
        <w:t>Keyword 5: Latency Optimization</w:t>
      </w:r>
    </w:p>
    <w:p>
      <w:pPr>
        <w:pStyle w:val="ListParagraph"/>
        <w:numPr>
          <w:ilvl w:val="0"/>
          <w:numId w:val="49"/>
        </w:numPr>
        <w:spacing w:before="0" w:after="30"/>
        <w:rPr/>
      </w:pPr>
      <w:r>
        <w:rPr/>
        <w:t>Keyword 6: Resource-Constrained Networks</w:t>
      </w:r>
    </w:p>
    <w:p>
      <w:pPr>
        <w:pStyle w:val="Heading2"/>
        <w:rPr/>
      </w:pPr>
      <w:r>
        <w:rPr/>
        <w:t>0.2 Identification Table</w:t>
      </w:r>
    </w:p>
    <w:tbl>
      <w:tblPr>
        <w:tblW w:w="9300" w:type="dxa"/>
        <w:jc w:val="left"/>
        <w:tblInd w:w="0" w:type="dxa"/>
        <w:tblLayout w:type="fixed"/>
        <w:tblCellMar>
          <w:top w:w="30" w:type="dxa"/>
          <w:left w:w="60" w:type="dxa"/>
          <w:bottom w:w="30" w:type="dxa"/>
          <w:right w:w="60" w:type="dxa"/>
        </w:tblCellMar>
      </w:tblPr>
      <w:tblGrid>
        <w:gridCol w:w="3098"/>
        <w:gridCol w:w="6201"/>
      </w:tblGrid>
      <w:tr>
        <w:trPr/>
        <w:tc>
          <w:tcPr>
            <w:tcW w:w="3098"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Field</w:t>
            </w:r>
          </w:p>
        </w:tc>
        <w:tc>
          <w:tcPr>
            <w:tcW w:w="62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Your Entry</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Researcher Name(s)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Gyimah Ramsey Opoku</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Student ID(s)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20993626</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Supervisor</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Eric Opoku Osei</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Department / Institution</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Department of Computer Science, KNUST</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Submission Date</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25</w:t>
            </w:r>
            <w:r>
              <w:rPr>
                <w:b w:val="false"/>
                <w:bCs w:val="false"/>
                <w:sz w:val="17"/>
                <w:szCs w:val="17"/>
                <w:vertAlign w:val="superscript"/>
              </w:rPr>
              <w:t>th</w:t>
            </w:r>
            <w:r>
              <w:rPr>
                <w:b w:val="false"/>
                <w:bCs w:val="false"/>
                <w:sz w:val="17"/>
                <w:szCs w:val="17"/>
              </w:rPr>
              <w:t xml:space="preserve"> JUNE 2026</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Research Sector</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Distributed systems &amp; applied cryptography for federated learning infrastructure</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Target Journal 1</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IEEE Transactions on Dependable and Secure Computing</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Target Journal 2 (backup)</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Future Generation Computer Systems</w:t>
            </w:r>
          </w:p>
        </w:tc>
      </w:tr>
    </w:tbl>
    <w:p>
      <w:pPr>
        <w:pStyle w:val="Normal"/>
        <w:rPr/>
      </w:pPr>
      <w:r>
        <w:rPr/>
      </w:r>
    </w:p>
    <w:p>
      <w:pPr>
        <w:pStyle w:val="Heading2"/>
        <w:rPr/>
      </w:pPr>
      <w:r>
        <w:rPr/>
        <w:t xml:space="preserve">★ </w:t>
      </w:r>
      <w:r>
        <w:rPr/>
        <w:t>Novelty Declaration</w:t>
      </w:r>
    </w:p>
    <w:p>
      <w:pPr>
        <w:pStyle w:val="Normal"/>
        <w:spacing w:before="0" w:after="100"/>
        <w:rPr/>
      </w:pPr>
      <w:r>
        <w:rPr/>
        <w:t>Novelty Statement: a Google Scholar / IEEE Xplore search (queries: “adaptive Paillier key size federated learning,” “dynamic Paillier parameter selection federated learning,” “Paillier key size latency secure aggregation,” June 2026) found adaptive parameter selection for CKKS (Pan et al., 2024) and for DP noise budgets (Guo et al., 2025), and heterogeneity-aware client selection under HE (Li et al., 2025) — but no study treating Paillier key size itself as a dynamically selected parameter in FL secure aggregation. Existing deployments instead fix key size once at design time (1024 bits in Alqazzaz, 2025; 3072 bits in Du et al., 2023), independent of client heterogeneity. AKS-FedAvg fabricates an adaptive key-size selection module that closes this gap.</w:t>
      </w:r>
    </w:p>
    <w:p>
      <w:pPr>
        <w:pStyle w:val="Heading3"/>
        <w:rPr/>
      </w:pPr>
      <w:r>
        <w:rPr/>
        <w:t>Novelty Type</w:t>
      </w:r>
    </w:p>
    <w:p>
      <w:pPr>
        <w:pStyle w:val="ListParagraph"/>
        <w:numPr>
          <w:ilvl w:val="0"/>
          <w:numId w:val="50"/>
        </w:numPr>
        <w:spacing w:before="0" w:after="30"/>
        <w:rPr/>
      </w:pPr>
      <w:r>
        <w:rPr/>
        <w:t>New Application Context (adaptive parameter selection, proven for CKKS/DP, newly applied to Paillier)</w:t>
      </w:r>
    </w:p>
    <w:p>
      <w:pPr>
        <w:pStyle w:val="ListParagraph"/>
        <w:numPr>
          <w:ilvl w:val="0"/>
          <w:numId w:val="51"/>
        </w:numPr>
        <w:spacing w:before="0" w:after="30"/>
        <w:rPr/>
      </w:pPr>
      <w:r>
        <w:rPr/>
        <w:t>New Evidence in an Under-Researched Geography (motivating deployment context: cross-school federated learning in Ghana, building on the author's Project 12 testbed)</w:t>
      </w:r>
    </w:p>
    <w:p>
      <w:pPr>
        <w:pStyle w:val="Heading1"/>
        <w:rPr/>
      </w:pPr>
      <w:r>
        <w:rPr/>
        <w:t>SECTION 1 — SECTOR &amp; TOPIC SELECTION</w:t>
      </w:r>
    </w:p>
    <w:p>
      <w:pPr>
        <w:pStyle w:val="Normal"/>
        <w:spacing w:before="0" w:after="100"/>
        <w:rPr/>
      </w:pPr>
      <w:r>
        <w:rPr>
          <w:b/>
          <w:bCs/>
        </w:rPr>
        <w:t xml:space="preserve">My research sector: </w:t>
      </w:r>
      <w:r>
        <w:rPr/>
        <w:t>Distributed systems and applied cryptography for privacy-preserving federated learning infrastructure, motivated by a cross-institutional EdTech deployment context in Ghana.</w:t>
      </w:r>
    </w:p>
    <w:p>
      <w:pPr>
        <w:pStyle w:val="Normal"/>
        <w:spacing w:before="0" w:after="100"/>
        <w:rPr/>
      </w:pPr>
      <w:r>
        <w:rPr>
          <w:b/>
          <w:bCs/>
        </w:rPr>
        <w:t xml:space="preserve">My specific sub-problem: </w:t>
      </w:r>
      <w:r>
        <w:rPr/>
        <w:t>The latency and communication cost imposed by fixed-size Paillier homomorphic encryption in secure aggregation for federated learning, and the design of an adaptive key-size selection mechanism that reduces this cost without weakening the achieved security level.</w:t>
      </w:r>
    </w:p>
    <w:p>
      <w:pPr>
        <w:pStyle w:val="Normal"/>
        <w:spacing w:before="0" w:after="100"/>
        <w:rPr/>
      </w:pPr>
      <w:r>
        <w:rPr/>
        <w:t>Internal consistency check: the sector (FL systems/cryptography), the model (Paillier-secured FedAvg, engineered into AKS-FedAvg), the dataset (CIFAR-10 client workloads + self-generated systems telemetry), and all three research questions below describe the same single study — the cost and adaptive mitigation of Paillier key size in FL aggregation.</w:t>
      </w:r>
    </w:p>
    <w:p>
      <w:pPr>
        <w:pStyle w:val="Heading1"/>
        <w:rPr/>
      </w:pPr>
      <w:r>
        <w:rPr/>
        <w:t>SECTION 2 — PROBLEM STATEMENT, OBJECTIVES &amp; THEORY</w:t>
      </w:r>
    </w:p>
    <w:p>
      <w:pPr>
        <w:pStyle w:val="Heading2"/>
        <w:rPr/>
      </w:pPr>
      <w:r>
        <w:rPr/>
        <w:t>2.1 Background / Context</w:t>
      </w:r>
    </w:p>
    <w:p>
      <w:pPr>
        <w:pStyle w:val="Normal"/>
        <w:spacing w:before="0" w:after="100"/>
        <w:rPr/>
      </w:pPr>
      <w:r>
        <w:rPr/>
        <w:t>Federated learning (FL) lets multiple clients collaboratively train a shared model while keeping raw data local, aggregating only model updates at a central server (McMahan et al., 2017). FL alone does not guarantee privacy — shared gradients can leak training-data information — which motivates cryptographic protection during aggregation (Bonawitz et al., 2017). Paillier homomorphic encryption (Paillier, 1999) is the most widely deployed scheme for this purpose: its additive homomorphism lets a server sum encrypted client updates without ever decrypting them individually. The cost is severe. Pan et al. (2024) report that 2048-bit Paillier-secured FedAvg incurs a total training time 121× that of unencrypted FedAvg, with encryption time growing exponentially with key size; Du et al. (2023) show that meeting the NIST 128-bit recommendation requires a 3072-bit key, producing a 6,144-bit ciphertext per parameter — overhead that compounds across every client, parameter, and round.</w:t>
      </w:r>
    </w:p>
    <w:p>
      <w:pPr>
        <w:pStyle w:val="Heading2"/>
        <w:rPr/>
      </w:pPr>
      <w:r>
        <w:rPr/>
        <w:t>2.2 Specific Problem Paragraph</w:t>
      </w:r>
    </w:p>
    <w:p>
      <w:pPr>
        <w:pStyle w:val="Normal"/>
        <w:spacing w:before="0" w:after="100"/>
        <w:rPr/>
      </w:pPr>
      <w:r>
        <w:rPr/>
        <w:t>Existing Paillier-FL systems treat key size as a single fixed constant chosen once at deployment, not as a parameter tunable against clients' real latency/bandwidth budgets. Alqazzaz (2025) fixes the key at 1024 bits across an entire smart-city deployment with no latency-driven justification; Du et al. (2023) fix it at 3072 bits for every client regardless of whether that client is a well-provisioned silo or a constrained edge device. Where genuine adaptivity has been engineered, it targets other mechanisms: Pan et al. (2024) build a depth-adaptive key-generation algorithm for CKKS; Guo et al. (2025) build an adaptive noise-scoring mechanism for differential-privacy budgets; Li et al. (2025) engineer straggler-resistant client selection to handle device heterogeneity under packed HE. None adapts the Paillier key size itself.</w:t>
      </w:r>
    </w:p>
    <w:p>
      <w:pPr>
        <w:pStyle w:val="Heading2"/>
        <w:rPr/>
      </w:pPr>
      <w:r>
        <w:rPr/>
        <w:t>2.3 The Gap Paragraph</w:t>
      </w:r>
    </w:p>
    <w:p>
      <w:pPr>
        <w:pStyle w:val="Normal"/>
        <w:spacing w:before="0" w:after="100"/>
        <w:rPr/>
      </w:pPr>
      <w:r>
        <w:rPr/>
        <w:t>No study to date selects Paillier key size adaptively — per deployment or per round — against a target security level and clients' observed compute/bandwidth profile. The search described in Section 0 returned adaptive-parameter work for CKKS and DP noise, and heterogeneity-aware client-selection work under HE (Li et al., 2025), but no study combining adaptive key-size selection with Paillier-secured aggregation. This proposal addresses that gap.</w:t>
      </w:r>
    </w:p>
    <w:p>
      <w:pPr>
        <w:pStyle w:val="Heading2"/>
        <w:rPr/>
      </w:pPr>
      <w:r>
        <w:rPr/>
        <w:t>2.4 Research Objectives</w:t>
      </w:r>
    </w:p>
    <w:p>
      <w:pPr>
        <w:pStyle w:val="ListParagraph"/>
        <w:numPr>
          <w:ilvl w:val="0"/>
          <w:numId w:val="52"/>
        </w:numPr>
        <w:spacing w:before="0" w:after="30"/>
        <w:rPr/>
      </w:pPr>
      <w:r>
        <w:rPr/>
        <w:t>Objective 1: To develop AKS-FedAvg, an engineered variant of Paillier-secured FedAvg that fabricates an adaptive key-size selection module choosing Paillier key length per round against a target security level and the observed latency/bandwidth profile of participating clients.</w:t>
      </w:r>
    </w:p>
    <w:p>
      <w:pPr>
        <w:pStyle w:val="ListParagraph"/>
        <w:numPr>
          <w:ilvl w:val="0"/>
          <w:numId w:val="53"/>
        </w:numPr>
        <w:spacing w:before="0" w:after="30"/>
        <w:rPr/>
      </w:pPr>
      <w:r>
        <w:rPr/>
        <w:t>Objective 2: To empirically benchmark the encryption, decryption, homomorphic-aggregation, and communication overhead of AKS-FedAvg against locked, fixed-key-size Paillier-FedAvg baselines across varying client counts, model sizes, and network conditions.</w:t>
      </w:r>
    </w:p>
    <w:p>
      <w:pPr>
        <w:pStyle w:val="ListParagraph"/>
        <w:numPr>
          <w:ilvl w:val="0"/>
          <w:numId w:val="54"/>
        </w:numPr>
        <w:spacing w:before="0" w:after="30"/>
        <w:rPr/>
      </w:pPr>
      <w:r>
        <w:rPr/>
        <w:t>Objective 3: To determine the Pareto-optimal trade-off between achieved security level and end-to-end round latency for AKS-FedAvg relative to existing fixed-key approaches.</w:t>
      </w:r>
    </w:p>
    <w:p>
      <w:pPr>
        <w:pStyle w:val="Heading2"/>
        <w:rPr/>
      </w:pPr>
      <w:r>
        <w:rPr/>
        <w:t>2.5 Research Questions</w:t>
      </w:r>
    </w:p>
    <w:p>
      <w:pPr>
        <w:pStyle w:val="ListParagraph"/>
        <w:numPr>
          <w:ilvl w:val="0"/>
          <w:numId w:val="55"/>
        </w:numPr>
        <w:spacing w:before="0" w:after="30"/>
        <w:rPr/>
      </w:pPr>
      <w:r>
        <w:rPr/>
        <w:t>RQ1 (Objective 1): What adaptive key-size selection rule — mapping observed client compute/bandwidth and a target security level to a Paillier key length — can be engineered as an add-on module to standard Paillier-secured FedAvg, and how is it implemented?</w:t>
      </w:r>
    </w:p>
    <w:p>
      <w:pPr>
        <w:pStyle w:val="ListParagraph"/>
        <w:numPr>
          <w:ilvl w:val="0"/>
          <w:numId w:val="56"/>
        </w:numPr>
        <w:spacing w:before="0" w:after="30"/>
        <w:rPr/>
      </w:pPr>
      <w:r>
        <w:rPr/>
        <w:t>RQ2 (Objective 2): How do per-round encryption time, decryption time, homomorphic aggregation time, and communication cost differ between AKS-FedAvg and fixed-key-size Paillier-FedAvg baselines across varying client counts and model sizes?</w:t>
      </w:r>
    </w:p>
    <w:p>
      <w:pPr>
        <w:pStyle w:val="ListParagraph"/>
        <w:numPr>
          <w:ilvl w:val="0"/>
          <w:numId w:val="57"/>
        </w:numPr>
        <w:spacing w:before="0" w:after="30"/>
        <w:rPr/>
      </w:pPr>
      <w:r>
        <w:rPr/>
        <w:t>RQ3 (Objective 3): What is the Pareto-optimal frontier between achieved security level (bits) and end-to-end round latency for AKS-FedAvg, and how does it compare against fixed 1024-, 2048-, and 3072-bit baselines?</w:t>
      </w:r>
    </w:p>
    <w:p>
      <w:pPr>
        <w:pStyle w:val="Heading2"/>
        <w:rPr/>
      </w:pPr>
      <w:r>
        <w:rPr/>
        <w:t>2.6 Theoretical / Conceptual Framework</w:t>
      </w:r>
    </w:p>
    <w:p>
      <w:pPr>
        <w:pStyle w:val="Normal"/>
        <w:spacing w:before="0" w:after="100"/>
        <w:rPr/>
      </w:pPr>
      <w:r>
        <w:rPr>
          <w:b/>
          <w:bCs/>
        </w:rPr>
        <w:t xml:space="preserve">Theoretical Framework: </w:t>
      </w:r>
      <w:r>
        <w:rPr/>
        <w:t>The concrete/provable-security framework of modern cryptography (Goldwasser &amp; Micali-style semantic security, instantiated practically via NIST SP 800-56B's key-size-to-security-level recommendation).</w:t>
      </w:r>
    </w:p>
    <w:p>
      <w:pPr>
        <w:pStyle w:val="Normal"/>
        <w:spacing w:before="0" w:after="100"/>
        <w:rPr/>
      </w:pPr>
      <w:r>
        <w:rPr/>
        <w:t>This is a systems/cryptography study, so an educational or behavioural theory does not apply; the relevant disciplinary framework comes from applied cryptography itself, at two linked levels. (1) Concrete security theory defines security as a function of an adversary's computational advantage being negligible in a security parameter λ — this is why discrete key-size choices are substitutable at all: each candidate key size instantiates a different λ. (2) NIST SP 800-56B operationalizes that theory into the numerical mapping this study uses directly: κ (key size, the independent variable manipulated by both fixed baselines and AKS-FedAvg) → σ(κ) (certified security level, the constraint AKS-FedAvg's selection rule must never violate) → measured latency L(κ) (the dependent variable). Every design choice in Section 4 — the candidate key set, the selection rule's decision boundary, and the RQ3 Pareto analysis — is a direct application of this two-level framework.</w:t>
      </w:r>
    </w:p>
    <w:p>
      <w:pPr>
        <w:pStyle w:val="Heading1"/>
        <w:rPr/>
      </w:pPr>
      <w:r>
        <w:rPr/>
        <w:t>SECTION 3 — RELATED WORK &amp; LITERATURE</w:t>
      </w:r>
    </w:p>
    <w:p>
      <w:pPr>
        <w:pStyle w:val="Heading2"/>
        <w:rPr/>
      </w:pPr>
      <w:r>
        <w:rPr/>
        <w:t>Reference Table</w:t>
      </w:r>
    </w:p>
    <w:tbl>
      <w:tblPr>
        <w:tblW w:w="10300" w:type="dxa"/>
        <w:jc w:val="left"/>
        <w:tblInd w:w="0" w:type="dxa"/>
        <w:tblLayout w:type="fixed"/>
        <w:tblCellMar>
          <w:top w:w="30" w:type="dxa"/>
          <w:left w:w="60" w:type="dxa"/>
          <w:bottom w:w="30" w:type="dxa"/>
          <w:right w:w="60" w:type="dxa"/>
        </w:tblCellMar>
      </w:tblPr>
      <w:tblGrid>
        <w:gridCol w:w="350"/>
        <w:gridCol w:w="4500"/>
        <w:gridCol w:w="1300"/>
        <w:gridCol w:w="1101"/>
        <w:gridCol w:w="899"/>
        <w:gridCol w:w="2149"/>
      </w:tblGrid>
      <w:tr>
        <w:trPr/>
        <w:tc>
          <w:tcPr>
            <w:tcW w:w="35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w:t>
            </w:r>
          </w:p>
        </w:tc>
        <w:tc>
          <w:tcPr>
            <w:tcW w:w="45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Citation (APA 7)</w:t>
            </w:r>
          </w:p>
        </w:tc>
        <w:tc>
          <w:tcPr>
            <w:tcW w:w="1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DOI</w:t>
            </w:r>
          </w:p>
        </w:tc>
        <w:tc>
          <w:tcPr>
            <w:tcW w:w="11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Indexed</w:t>
            </w:r>
          </w:p>
        </w:tc>
        <w:tc>
          <w:tcPr>
            <w:tcW w:w="8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Baseline?</w:t>
            </w:r>
          </w:p>
        </w:tc>
        <w:tc>
          <w:tcPr>
            <w:tcW w:w="214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Key Contribution / Limitation</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Paillier, P. (1999). Public-key cryptosystems based on composite degree residuosity classes. In Advances in Cryptology — EUROCRYPT ’99 (LNCS vol. 1592, pp. 223–238). Springer.</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https://doi.org/10.1007/3-540-48910-X_16</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SEMINAL</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Foundational Paillier cryptosystem benchmarked in this study.</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McMahan, H. B., Moore, E., Ramage, D., Hampson, S., &amp; Agüera y Arcas, B. (2017). Communication-efficient learning of deep networks from decentralized data. Proceedings of AISTATS 2017 (arXiv:1602.05629).</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https://doi.org/10.48550/arXiv.1602.05629</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(AISTATS)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SEMINAL</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Introduces FedAvg, the algorithm secured here with Paillier encryption.</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3</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Bonawitz, K., Ivanov, V., Kreuter, B., Marcedone, A., McMahan, H. B., Patel, S., Ramage, D., Segal, A., &amp; Seth, K. (2017). Practical secure aggregation for privacy-preserving machine learning. Proceedings of the 2017 ACM SIGSAC CCS, 1175–1191.</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https://doi.org/10.1145/3133956.3133982</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SEMINAL</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Defines the honest-but-curious threat model adopted here.</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4</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Beutel, D. J., Topal, T., Mathur, A., Qiu, X., Parcollet, T., de Gusmão, P. P. B., &amp; Lane, N. D. (2020). Flower: A friendly federated learning research framework. arXiv:2007.14390.</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https://doi.org/10.48550/arXiv.2007.14390</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Preprint — not Scopus/WoS indexed</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No</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FL framework underlying the testbed (also used in Project 12).</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5</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Yousefpour, A., Shilov, I., Sablayrolles, A., Testuggine, D., Prasad, K., Malek, M., Nguyen, J., Ghosh, S., Bharadwaj, A., Zhao, J., Cormode, G., &amp; Mironov, I. (2021). Opacus: User-friendly differential privacy library in PyTorch. arXiv:2109.12298.</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https://doi.org/10.48550/arXiv.2109.12298</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Preprint — not Scopus/WoS indexed</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No</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DP-SGD tooling for an optional DP-augmented extension.</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6</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Du, W., Li, M., Wu, L., Han, Y., Zhou, T., &amp; Yang, X. (2023). A efficient and robust privacy-preserving framework for cross-device federated learning. Complex &amp; Intelligent Systems, 9(5), 4923–4937.</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https://doi.org/10.1007/s40747-023-00978-9</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WoS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 xml:space="preserve">✓ </w:t>
            </w:r>
            <w:r>
              <w:rPr>
                <w:b w:val="false"/>
                <w:bCs w:val="false"/>
                <w:sz w:val="14"/>
                <w:szCs w:val="14"/>
              </w:rPr>
              <w:t>Baseline 1</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Fixes Paillier at 3072 bits for all clients regardless of heterogeneity — the fixed-key assumption challenged here.</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7</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Pan, Y., Chao, Z., He, W., Jing, Y., Hongjia, L., &amp; Liming, W. (2024). FedSHE: Privacy preserving and efficient federated learning with adaptive segmented CKKS homomorphic encryption. Cybersecurity, 7, Article 40.</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https://doi.org/10.1186/s42400-024-00232-w</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WoS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 xml:space="preserve">✓ </w:t>
            </w:r>
            <w:r>
              <w:rPr>
                <w:b w:val="false"/>
                <w:bCs w:val="false"/>
                <w:sz w:val="14"/>
                <w:szCs w:val="14"/>
              </w:rPr>
              <w:t>Baseline 2</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Reports Paillier-FedAvg at 121× plaintext training time; adaptive selection proposed for CKKS, not Paillier. Empirical anchor for RQ1/RQ2.</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8</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Alqazzaz, A. (2025). Federated learning with homomorphic encryption: A privacy-preserving solution for smart cities. International Journal of Computational Intelligence Systems, 18, Article 304.</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https://doi.org/10.1007/s44196-025-00829-0</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WoS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 xml:space="preserve">✓ </w:t>
            </w:r>
            <w:r>
              <w:rPr>
                <w:b w:val="false"/>
                <w:bCs w:val="false"/>
                <w:sz w:val="14"/>
                <w:szCs w:val="14"/>
              </w:rPr>
              <w:t>Baseline 3</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Fixes Paillier at 1024 bits (below NIST minimum) with no latency justification — security already traded informally for speed.</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9</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Guo, F., Wang, R., Wang, J., Yang, C., Liu, Z., &amp; Li, H. (2025). APDP-FL: Personalized federated learning based on adaptive differential privacy. Symmetry, 17(12), Article 2023.</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https://doi.org/10.3390/sym17122023</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WoS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No</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Adaptive per-round scheduling for a sibling mechanism (DP noise) — precedent motivating the same approach for Paillier key size.</w:t>
            </w:r>
          </w:p>
        </w:tc>
      </w:tr>
      <w:tr>
        <w:trPr/>
        <w:tc>
          <w:tcPr>
            <w:tcW w:w="3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10</w:t>
            </w:r>
          </w:p>
        </w:tc>
        <w:tc>
          <w:tcPr>
            <w:tcW w:w="45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Li, Y., Yan, N., Chen, J., Wang, X., Hong, J., He, K., Wang, W., &amp; Li, B. (2025). FedPHE: A secure and efficient federated learning via packed homomorphic encryption. IEEE Transactions on Dependable and Secure Computing, 22(5), 5448–5463.</w:t>
            </w:r>
          </w:p>
        </w:tc>
        <w:tc>
          <w:tcPr>
            <w:tcW w:w="1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https://doi.org/10.1109/TDSC.2025.3567301</w:t>
            </w:r>
          </w:p>
        </w:tc>
        <w:tc>
          <w:tcPr>
            <w:tcW w:w="11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Scopus, WoS</w:t>
            </w:r>
          </w:p>
        </w:tc>
        <w:tc>
          <w:tcPr>
            <w:tcW w:w="8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4"/>
                <w:szCs w:val="14"/>
              </w:rPr>
              <w:t>No</w:t>
            </w:r>
          </w:p>
        </w:tc>
        <w:tc>
          <w:tcPr>
            <w:tcW w:w="21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Engineers straggler-resistant client selection under HE — the field adapts scheduling to heterogeneity via client selection, not key size. Sharpens the novelty boundary.</w:t>
            </w:r>
          </w:p>
        </w:tc>
      </w:tr>
    </w:tbl>
    <w:p>
      <w:pPr>
        <w:pStyle w:val="Normal"/>
        <w:spacing w:before="0" w:after="140"/>
        <w:rPr/>
      </w:pPr>
      <w:r>
        <w:rPr>
          <w:i/>
          <w:iCs/>
          <w:color w:val="C00000"/>
          <w:sz w:val="19"/>
          <w:szCs w:val="19"/>
        </w:rPr>
        <w:t>Indexing note: 8 of 10 references are Scopus/WoS-indexed peer-reviewed venues. Only references 4 (Flower) and 5 (Opacus) are arXiv preprints — retained because they are the tooling this study's testbed is literally built on, not because they support a content claim; every substantive empirical/novelty claim is backed by an indexed source. 7 of 10 references are 2020–2026; 3 are pre-2020 and labelled SEMINAL rather than current.</w:t>
      </w:r>
    </w:p>
    <w:p>
      <w:pPr>
        <w:pStyle w:val="Heading2"/>
        <w:rPr/>
      </w:pPr>
      <w:r>
        <w:rPr/>
        <w:t>3.1 Synthesis of Related Work</w:t>
      </w:r>
    </w:p>
    <w:p>
      <w:pPr>
        <w:pStyle w:val="Normal"/>
        <w:spacing w:before="0" w:after="100"/>
        <w:rPr/>
      </w:pPr>
      <w:r>
        <w:rPr/>
        <w:t>Three sub-themes structure this literature. (1) Foundational mechanisms: FedAvg (McMahan et al., 2017) and secure aggregation (Bonawitz et al., 2017) establish that gradient exchange requires protection, and Paillier (1999) supplies the additive-homomorphic primitive most commonly used to provide it. (2) Cost characterization: Pan et al. (2024) and Du et al. (2023) independently quantify Paillier's overhead — 121× training-time inflation and 6,144-bit ciphertexts respectively — yet both respond by fixing a single key size rather than questioning whether it must be fixed at all; Alqazzaz (2025) fixes 1024 bits with no latency-based justification, showing key-size choice in this literature is conventional, not engineered. (3) Adaptive/heterogeneity-aware engineering for sibling mechanisms: Pan et al. (2024) demonstrate depth-adaptive key generation for CKKS; Guo et al. (2025) demonstrate adaptive DP noise scheduling; Li et al. (2025) engineer straggler-resistant client selection to handle device heterogeneity under packed HE. Read together, these sub-themes expose a clear asymmetry: the field already knows adaptive parameter/scheduling selection reduces overhead for CKKS, DP, and client selection, and already knows Paillier's key size dominates its own cost — but has not connected those findings to Paillier itself. AKS-FedAvg applies the adaptive-selection pattern validated for CKKS, DP, and client selection to the one mechanism it has not yet reached.</w:t>
      </w:r>
    </w:p>
    <w:p>
      <w:pPr>
        <w:pStyle w:val="Heading1"/>
        <w:rPr/>
      </w:pPr>
      <w:r>
        <w:rPr/>
        <w:t>SECTION 4 — METHODOLOGY</w:t>
      </w:r>
    </w:p>
    <w:p>
      <w:pPr>
        <w:pStyle w:val="Heading2"/>
        <w:rPr/>
      </w:pPr>
      <w:r>
        <w:rPr/>
        <w:t>4A — Model Selection &amp; Baseline Justification</w:t>
      </w:r>
    </w:p>
    <w:p>
      <w:pPr>
        <w:pStyle w:val="Normal"/>
        <w:spacing w:before="0" w:after="100"/>
        <w:rPr/>
      </w:pPr>
      <w:r>
        <w:rPr>
          <w:b/>
          <w:bCs/>
        </w:rPr>
        <w:t xml:space="preserve">Modern model class selected: </w:t>
      </w:r>
      <w:r>
        <w:rPr/>
        <w:t>Federated Learning (FL) — specifically, Paillier-secured Federated Averaging, engineered into AKS-FedAvg.</w:t>
      </w:r>
    </w:p>
    <w:p>
      <w:pPr>
        <w:pStyle w:val="Normal"/>
        <w:spacing w:before="0" w:after="100"/>
        <w:rPr/>
      </w:pPr>
      <w:r>
        <w:rPr>
          <w:b/>
          <w:bCs/>
        </w:rPr>
        <w:t xml:space="preserve">Primary Model Selected: </w:t>
      </w:r>
      <w:r>
        <w:rPr/>
        <w:t>Paillier-secured Federated Averaging (Paillier-FedAvg), engineered into AKS-FedAvg via the adaptive key-size selection module described in Section 4B.</w:t>
      </w:r>
    </w:p>
    <w:p>
      <w:pPr>
        <w:pStyle w:val="Normal"/>
        <w:spacing w:before="0" w:after="100"/>
        <w:rPr/>
      </w:pPr>
      <w:r>
        <w:rPr/>
        <w:t>Justification: FL is the correct model class because the motivating deployment context (cross-school progress-tracking FL, building on the author's Project 12 testbed) is itself a federated system; Paillier secure aggregation is the correct privacy layer because it is the specific, most widely deployed mechanism whose fixed-key design this study targets (Paillier, 1999; Bonawitz et al., 2017). A non-FL model could not expose the aggregation-latency phenomenon under study at all, so FL is the only model class compatible with the research question — not a stylistic preference.</w:t>
      </w:r>
    </w:p>
    <w:p>
      <w:pPr>
        <w:pStyle w:val="Normal"/>
        <w:spacing w:before="0" w:after="100"/>
        <w:rPr/>
      </w:pPr>
      <w:r>
        <w:rPr>
          <w:b/>
          <w:bCs/>
        </w:rPr>
        <w:t xml:space="preserve">Baseline 1 (standard/unengineered): </w:t>
      </w:r>
      <w:r>
        <w:rPr/>
        <w:t>Fixed 2048-bit Paillier-FedAvg — the NIST 128-bit-equivalent minimum, used as the unengineered scientific control (configuration reported via Yang et al., 2020, cited in Pan et al., 2024).</w:t>
      </w:r>
    </w:p>
    <w:p>
      <w:pPr>
        <w:pStyle w:val="Normal"/>
        <w:spacing w:before="0" w:after="100"/>
        <w:rPr/>
      </w:pPr>
      <w:r>
        <w:rPr>
          <w:b/>
          <w:bCs/>
        </w:rPr>
        <w:t xml:space="preserve">Baseline 2: </w:t>
      </w:r>
      <w:r>
        <w:rPr/>
        <w:t>Fixed 3072-bit Paillier-FedAvg — Du et al. (2023)'s chosen configuration for cross-device PPFL.</w:t>
      </w:r>
    </w:p>
    <w:p>
      <w:pPr>
        <w:pStyle w:val="Normal"/>
        <w:spacing w:before="0" w:after="100"/>
        <w:rPr/>
      </w:pPr>
      <w:r>
        <w:rPr>
          <w:b/>
          <w:bCs/>
        </w:rPr>
        <w:t xml:space="preserve">Baseline 3: </w:t>
      </w:r>
      <w:r>
        <w:rPr/>
        <w:t>Fixed 1024-bit Paillier-FedAvg — Alqazzaz (2025)'s SPP-FLHE configuration, included to quantify the latency the field is already trading away security to obtain.</w:t>
      </w:r>
    </w:p>
    <w:p>
      <w:pPr>
        <w:pStyle w:val="Heading2"/>
        <w:rPr/>
      </w:pPr>
      <w:r>
        <w:rPr/>
        <w:t>4B — Model Engineering Contribution</w:t>
      </w:r>
    </w:p>
    <w:p>
      <w:pPr>
        <w:pStyle w:val="Normal"/>
        <w:spacing w:before="0" w:after="100"/>
        <w:rPr/>
      </w:pPr>
      <w:r>
        <w:rPr>
          <w:b/>
          <w:bCs/>
        </w:rPr>
        <w:t xml:space="preserve">[F] FABRICATE — I will add: </w:t>
      </w:r>
      <w:r>
        <w:rPr/>
        <w:t>an adaptive key-size selection module — a new scheduling component absent from standard Paillier-FedAvg — that, at the start of each communication round, selects a Paillier key length from a candidate set {1024, 1536, 2048, 3072, 4096} by mapping the slowest-reporting client's measured compute/bandwidth profile and a configured minimum security level to the smallest key length still satisfying that security floor, following the depth-adaptive pattern Pan et al. (2024) used for CKKS, applied here for the first time to Paillier.</w:t>
      </w:r>
    </w:p>
    <w:p>
      <w:pPr>
        <w:pStyle w:val="Normal"/>
        <w:spacing w:before="0" w:after="100"/>
        <w:rPr/>
      </w:pPr>
      <w:r>
        <w:rPr>
          <w:b/>
          <w:bCs/>
        </w:rPr>
        <w:t xml:space="preserve">Name of engineered model: </w:t>
      </w:r>
      <w:r>
        <w:rPr/>
        <w:t>AKS-FedAvg (Adaptive Key-Size FedAvg).</w:t>
      </w:r>
    </w:p>
    <w:p>
      <w:pPr>
        <w:pStyle w:val="Normal"/>
        <w:spacing w:before="0" w:after="100"/>
        <w:rPr/>
      </w:pPr>
      <w:r>
        <w:rPr/>
        <w:t>Engineering Justification: not a generic “to improve performance” claim. The literature search (Sections 0, 2.3, 3.1) shows adaptive per-deployment parameter selection already validated for CKKS (Pan et al., 2024) and DP noise (Guo et al., 2025), and heterogeneity-aware scheduling validated for client selection under HE (Li et al., 2025) — but never applied to Paillier key size, the parameter Pan et al. (2024) and Du et al. (2023) independently identify as dominating Paillier-FedAvg's overhead. The operation targets exactly the dependent variable in RQ2/RQ3 without altering the cryptographic guarantee, so its effect isolates cleanly against the locked baseline.</w:t>
      </w:r>
    </w:p>
    <w:p>
      <w:pPr>
        <w:pStyle w:val="Heading3"/>
        <w:rPr/>
      </w:pPr>
      <w:r>
        <w:rPr/>
        <w:t>Baseline-vs-Engineered Comparison Plan</w:t>
      </w:r>
    </w:p>
    <w:p>
      <w:pPr>
        <w:pStyle w:val="ListParagraph"/>
        <w:numPr>
          <w:ilvl w:val="0"/>
          <w:numId w:val="58"/>
        </w:numPr>
        <w:spacing w:before="0" w:after="30"/>
        <w:rPr/>
      </w:pPr>
      <w:r>
        <w:rPr/>
        <w:t>Baseline (unmodified, fixed-key Paillier-FedAvg) will be built and LOCKED first, on identical data splits and seed, before any engineering begins.</w:t>
      </w:r>
    </w:p>
    <w:p>
      <w:pPr>
        <w:pStyle w:val="ListParagraph"/>
        <w:numPr>
          <w:ilvl w:val="0"/>
          <w:numId w:val="59"/>
        </w:numPr>
        <w:spacing w:before="0" w:after="30"/>
        <w:rPr/>
      </w:pPr>
      <w:r>
        <w:rPr/>
        <w:t>AKS-FedAvg will be implemented and run in a separate notebook/module on the same splits and seed.</w:t>
      </w:r>
    </w:p>
    <w:p>
      <w:pPr>
        <w:pStyle w:val="ListParagraph"/>
        <w:numPr>
          <w:ilvl w:val="0"/>
          <w:numId w:val="60"/>
        </w:numPr>
        <w:spacing w:before="0" w:after="30"/>
        <w:rPr/>
      </w:pPr>
      <w:r>
        <w:rPr/>
        <w:t>Comparison metrics: per-round encryption time, decryption time, aggregation time, total round latency, ciphertext size, communication cost, and Top-1 accuracy (sanity check only).</w:t>
      </w:r>
    </w:p>
    <w:p>
      <w:pPr>
        <w:pStyle w:val="ListParagraph"/>
        <w:numPr>
          <w:ilvl w:val="0"/>
          <w:numId w:val="61"/>
        </w:numPr>
        <w:spacing w:before="0" w:after="30"/>
        <w:rPr/>
      </w:pPr>
      <w:r>
        <w:rPr/>
        <w:t>Statistical significance test: Wilcoxon signed-rank test (paired, non-parametric, appropriate for repeated-measures latency distributions that are unlikely to be normally distributed).</w:t>
      </w:r>
    </w:p>
    <w:p>
      <w:pPr>
        <w:pStyle w:val="Normal"/>
        <w:spacing w:before="0" w:after="100"/>
        <w:rPr/>
      </w:pPr>
      <w:r>
        <w:rPr>
          <w:b/>
          <w:bCs/>
        </w:rPr>
        <w:t xml:space="preserve">Effect size / delta to report: </w:t>
      </w:r>
      <w:r>
        <w:rPr/>
        <w:t>Δ mean round latency (seconds) and Δ ciphertext size (bits) at matched 128-bit certified security level. Target (conservative, derived from the magnitude of differences Pan et al. (2024) report across HE parameter configurations): AKS-FedAvg achieves ≥ 30% round-latency reduction relative to the fixed 3072-bit baseline on constrained-network client profiles, at no loss of certified security level.</w:t>
      </w:r>
    </w:p>
    <w:p>
      <w:pPr>
        <w:pStyle w:val="Normal"/>
        <w:spacing w:before="0" w:after="100"/>
        <w:rPr/>
      </w:pPr>
      <w:r>
        <w:rPr>
          <w:b/>
          <w:bCs/>
        </w:rPr>
        <w:t xml:space="preserve">Phase workflow status: </w:t>
      </w:r>
      <w:r>
        <w:rPr/>
        <w:t>Phase 0 (environment setup) and Phase 1 (locked baseline) not yet started at proposal stage — scheduled in Section 10, Phases 4–6.</w:t>
      </w:r>
    </w:p>
    <w:p>
      <w:pPr>
        <w:pStyle w:val="Heading2"/>
        <w:rPr/>
      </w:pPr>
      <w:r>
        <w:rPr/>
        <w:t>4C — Dataset Plan</w:t>
      </w:r>
    </w:p>
    <w:p>
      <w:pPr>
        <w:pStyle w:val="Normal"/>
        <w:spacing w:before="0" w:after="100"/>
        <w:rPr/>
      </w:pPr>
      <w:r>
        <w:rPr>
          <w:b/>
          <w:bCs/>
        </w:rPr>
        <w:t xml:space="preserve">Dataset Tier selected: </w:t>
      </w:r>
      <w:r>
        <w:rPr/>
        <w:t>HYBRID — public dataset (CIFAR-10, for generating realistic client gradient-update workloads) + self-generated primary systems-performance telemetry (for the latency/communication measurements that are this study's actual dependent variables).</w:t>
      </w:r>
    </w:p>
    <w:p>
      <w:pPr>
        <w:pStyle w:val="Normal"/>
        <w:spacing w:before="0" w:after="100"/>
        <w:rPr/>
      </w:pPr>
      <w:r>
        <w:rPr>
          <w:b/>
          <w:bCs/>
        </w:rPr>
        <w:t xml:space="preserve">Primary data: </w:t>
      </w:r>
      <w:r>
        <w:rPr/>
        <w:t>Wall-clock latency, ciphertext-size, and bandwidth measurements collected by physically running the AKS-FedAvg / fixed-key Paillier-FedAvg testbed (extending the author's Project 12 Flower codebase) on three genuinely distinct, physically separate hardware nodes, not simulated profiles: (a) a KNUST Computer Lab workstation [well-provisioned cross-silo profile], (b) the author's personal laptop over campus Wi-Fi [mid-tier profile], (c) a constrained single-board device (Raspberry Pi 4 or an Android device via Termux) tethered through a bandwidth-throttled mobile hotspot approximating 2G/3G conditions [constrained edge profile]. This is genuine measured primary data on real heterogeneous hardware and real network links — not a synthetic stand-in — directly analogous to the “system-log export” collection instrument named in the template's own tooling guidance. No human participants or personal data are involved.</w:t>
      </w:r>
    </w:p>
    <w:p>
      <w:pPr>
        <w:pStyle w:val="Normal"/>
        <w:spacing w:before="0" w:after="100"/>
        <w:rPr/>
      </w:pPr>
      <w:r>
        <w:rPr>
          <w:b/>
          <w:bCs/>
        </w:rPr>
        <w:t xml:space="preserve">Supplementary Public Dataset: </w:t>
      </w:r>
      <w:r>
        <w:rPr/>
        <w:t>CIFAR-10 (60,000 32×32 colour images, 10 classes), partitioned across simulated clients via Dirichlet label-skew allocation (α = 0.5) to generate realistic, non-IID gradient-update payloads for the secure-aggregation pipeline being benchmarked. CIFAR-10 is not on the banned/retired dataset list and is the same benchmark used by the closest related work (Pan et al., 2024) for HE-based FL latency evaluation, supporting direct comparability. (MNIST, which is banned, is deliberately avoided even though it appears in several baseline papers.)</w:t>
      </w:r>
    </w:p>
    <w:p>
      <w:pPr>
        <w:pStyle w:val="Normal"/>
        <w:spacing w:before="0" w:after="100"/>
        <w:rPr/>
      </w:pPr>
      <w:r>
        <w:rPr>
          <w:b/>
          <w:bCs/>
        </w:rPr>
        <w:t xml:space="preserve">Justification: </w:t>
      </w:r>
      <w:r>
        <w:rPr/>
        <w:t>CIFAR-10 supplies realistic payload size and gradient structure; the systems telemetry supplies the actual measurements (latency, ciphertext size) that answer RQ2/RQ3. The model and dataset are matched because the research question concerns aggregation-pipeline overhead, which depends on parameter count and client count, not on classification difficulty — CIFAR-10 is therefore used as a standard, reproducible payload generator rather than as the object of study.</w:t>
      </w:r>
    </w:p>
    <w:tbl>
      <w:tblPr>
        <w:tblW w:w="9300" w:type="dxa"/>
        <w:jc w:val="left"/>
        <w:tblInd w:w="0" w:type="dxa"/>
        <w:tblLayout w:type="fixed"/>
        <w:tblCellMar>
          <w:top w:w="30" w:type="dxa"/>
          <w:left w:w="60" w:type="dxa"/>
          <w:bottom w:w="30" w:type="dxa"/>
          <w:right w:w="60" w:type="dxa"/>
        </w:tblCellMar>
      </w:tblPr>
      <w:tblGrid>
        <w:gridCol w:w="3098"/>
        <w:gridCol w:w="6201"/>
      </w:tblGrid>
      <w:tr>
        <w:trPr/>
        <w:tc>
          <w:tcPr>
            <w:tcW w:w="3098"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Dataset Item</w:t>
            </w:r>
          </w:p>
        </w:tc>
        <w:tc>
          <w:tcPr>
            <w:tcW w:w="62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Your Response</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Minimum sample size required</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 formal minimum for the systems-benchmarking variable; standard CIFAR-10 practice for the underlying classifier; 5 repeated measurement runs per configuration to support the Wilcoxon test (see 4E item 7).</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Actual / planned sample size</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CIFAR-10 standard 50,000/10,000 split; telemetry: 3 physical hardware profiles × 5 key sizes × 4 client-count levels (10/50/100/500, simulated multiplicity on top of the 3 physical nodes) × 5 repeats ≥ 300 measured rounds, with real (not simulated) timing on all 3 device classes.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Field / population</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Not applicable in the human sense (no human participants). The measured population is 3 physically distinct hardware/network profiles, chosen to approximate the device heterogeneity of a real cross-school FL network in Ghana (the author's Project 12 context).</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Data collection instrument</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Custom instrumentation layer on the Flower simulation harness, logging wall-clock timestamps (time.perf_counter()) per phase plus measured (not assumed) bandwidth via vnstat/ifstat on each of the 3 physical devices.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Named institution(s)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Not applicable for this systems-benchmarking scope; experiments run on KNUST lab and personal computing resources.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Hybrid fusion strategy</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CIFAR-10 supplies the gradient-update payload that is encrypted and aggregated each round; the self-generated telemetry layer times and logs that exact operation as the measurement of interest.</w:t>
            </w:r>
          </w:p>
        </w:tc>
      </w:tr>
    </w:tbl>
    <w:p>
      <w:pPr>
        <w:pStyle w:val="Normal"/>
        <w:rPr/>
      </w:pPr>
      <w:r>
        <w:rPr/>
      </w:r>
    </w:p>
    <w:p>
      <w:pPr>
        <w:pStyle w:val="Normal"/>
        <w:spacing w:before="0" w:after="140"/>
        <w:rPr/>
      </w:pPr>
      <w:r>
        <w:rPr>
          <w:i/>
          <w:iCs/>
          <w:color w:val="C00000"/>
          <w:sz w:val="19"/>
          <w:szCs w:val="19"/>
        </w:rPr>
        <w:t>Tier note: primary data is now genuine cross-device hardware measurement (3 physically distinct nodes), not pure simulation, which supports HYBRID; flagged to the supervisor only because the rubric's tiers were written with human-subject field data in mind, not systems telemetry.</w:t>
      </w:r>
    </w:p>
    <w:p>
      <w:pPr>
        <w:pStyle w:val="Heading2"/>
        <w:rPr/>
      </w:pPr>
      <w:r>
        <w:rPr/>
        <w:t>4C(ii) — Synthetic Data Plan</w:t>
      </w:r>
    </w:p>
    <w:p>
      <w:pPr>
        <w:pStyle w:val="Normal"/>
        <w:spacing w:before="0" w:after="100"/>
        <w:rPr/>
      </w:pPr>
      <w:r>
        <w:rPr/>
        <w:t>Not using synthetic-only data. (CIFAR-10 is real public benchmark data; the telemetry is real measured experimental output, not generated/simulated data.)</w:t>
      </w:r>
    </w:p>
    <w:p>
      <w:pPr>
        <w:pStyle w:val="Heading2"/>
        <w:rPr/>
      </w:pPr>
      <w:r>
        <w:rPr/>
        <w:t>4D — Computing Environment</w:t>
      </w:r>
    </w:p>
    <w:p>
      <w:pPr>
        <w:pStyle w:val="Normal"/>
        <w:spacing w:before="0" w:after="100"/>
        <w:rPr/>
      </w:pPr>
      <w:r>
        <w:rPr>
          <w:b/>
          <w:bCs/>
        </w:rPr>
        <w:t xml:space="preserve">Selected computing environment: </w:t>
      </w:r>
      <w:r>
        <w:rPr/>
        <w:t>KNUST Computer Lab workstation + personal laptop + a constrained single-board device (Raspberry Pi 4 / Android via Termux) — the same 3 physical nodes used for primary data collection in Section 4C — plus Google Colab Pro as backup for large-scale multi-client simulation runs exceeding local capacity.</w:t>
      </w:r>
    </w:p>
    <w:p>
      <w:pPr>
        <w:pStyle w:val="Normal"/>
        <w:spacing w:before="0" w:after="100"/>
        <w:rPr/>
      </w:pPr>
      <w:r>
        <w:rPr>
          <w:b/>
          <w:bCs/>
        </w:rPr>
        <w:t xml:space="preserve">GPU / RAM / storage plan: </w:t>
      </w:r>
      <w:r>
        <w:rPr/>
        <w:t>Shared lab GPU station (availability to confirm with lab administrator); 16GB+ RAM recommended to simulate up to 100 concurrent virtual clients; ~5GB storage for CIFAR-10 plus experiment logs.</w:t>
      </w:r>
    </w:p>
    <w:p>
      <w:pPr>
        <w:pStyle w:val="Normal"/>
        <w:spacing w:before="0" w:after="100"/>
        <w:rPr/>
      </w:pPr>
      <w:r>
        <w:rPr>
          <w:b/>
          <w:bCs/>
        </w:rPr>
        <w:t xml:space="preserve">Fixed random seed: </w:t>
      </w:r>
      <w:r>
        <w:rPr/>
        <w:t>SEED = 42, held constant across baseline and engineered runs.</w:t>
      </w:r>
    </w:p>
    <w:p>
      <w:pPr>
        <w:pStyle w:val="Normal"/>
        <w:spacing w:before="0" w:after="100"/>
        <w:rPr/>
      </w:pPr>
      <w:r>
        <w:rPr>
          <w:b/>
          <w:bCs/>
        </w:rPr>
        <w:t xml:space="preserve">Checkpointing / session-expiry plan: </w:t>
      </w:r>
      <w:r>
        <w:rPr/>
        <w:t>For Colab sessions, model checkpoints and round-level logs saved to Google Drive every 5 rounds to survive 90-minute idle disconnects; the experiment driver script resumes from the last completed round on restart.</w:t>
      </w:r>
    </w:p>
    <w:p>
      <w:pPr>
        <w:pStyle w:val="Heading2"/>
        <w:rPr/>
      </w:pPr>
      <w:r>
        <w:rPr/>
        <w:t>4E — Full Reproducibility Checklist</w:t>
      </w:r>
    </w:p>
    <w:tbl>
      <w:tblPr>
        <w:tblW w:w="9300" w:type="dxa"/>
        <w:jc w:val="left"/>
        <w:tblInd w:w="0" w:type="dxa"/>
        <w:tblLayout w:type="fixed"/>
        <w:tblCellMar>
          <w:top w:w="30" w:type="dxa"/>
          <w:left w:w="60" w:type="dxa"/>
          <w:bottom w:w="30" w:type="dxa"/>
          <w:right w:w="60" w:type="dxa"/>
        </w:tblCellMar>
      </w:tblPr>
      <w:tblGrid>
        <w:gridCol w:w="450"/>
        <w:gridCol w:w="2300"/>
        <w:gridCol w:w="6550"/>
      </w:tblGrid>
      <w:tr>
        <w:trPr/>
        <w:tc>
          <w:tcPr>
            <w:tcW w:w="45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w:t>
            </w:r>
          </w:p>
        </w:tc>
        <w:tc>
          <w:tcPr>
            <w:tcW w:w="23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Item</w:t>
            </w:r>
          </w:p>
        </w:tc>
        <w:tc>
          <w:tcPr>
            <w:tcW w:w="655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Specific Plan</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Preprocessing pipeline</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Per-channel normalization (CIFAR-10 train-split mean/std); parameters cast to fixed-point integers (scale 10⁶) before Paillier encryption, since Paillier needs integers. No missing values (complete-by-construction benchmark).</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Data split strategy</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CIFAR-10 standard 50,000/10,000 split; Dirichlet label-skew client partition (α = 0.5) across 10/50/100/500-client configs, seed = 42.</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3</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Class-imbalance handling</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No rebalancing — non-IID skew is the realistic condition under study, not a confound; dependent variables (latency, ciphertext size, security level) are unaffected by class balance.</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4</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Model architecture</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2-conv-layer CNN (32, 64 3×3 filters, ReLU, 2×2 max-pool) + 128-unit FC layer + softmax/10; ~205,000 parameters.</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5</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Hyperparameters</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Local epochs = 5; batch = 32; lr = 0.01 (SGD, momentum 0.9); 50 global rounds; seed = 42 throughout.</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6</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Training procedure</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FedAvg; SGD; cross-entropy loss; early stop if validation accuracy doesn't improve for 5 consecutive rounds.</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7</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Evaluation protocol</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5 repeated runs/configuration (5 key sizes × 4 client counts × 3 network profiles ≥ 300 rounds); mean ± SD reported.</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8</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Baseline models (≥ 3)</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 Unencrypted FedAvg [control]; (2) 2048-bit Paillier-FedAvg [unengineered standard]; (3) 3072-bit (Du et al., 2023); (4) 1024-bit (Alqazzaz, 2025).</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9</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Statistical significance test</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Wilcoxon signed-rank (paired, non-parametric) per fixed-key baseline at matched security level; Bonferroni α = 0.05/3.</w:t>
            </w:r>
          </w:p>
        </w:tc>
      </w:tr>
      <w:tr>
        <w:trPr/>
        <w:tc>
          <w:tcPr>
            <w:tcW w:w="4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10</w:t>
            </w:r>
          </w:p>
        </w:tc>
        <w:tc>
          <w:tcPr>
            <w:tcW w:w="23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Software/library versions</w:t>
            </w:r>
          </w:p>
        </w:tc>
        <w:tc>
          <w:tcPr>
            <w:tcW w:w="65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Python 3.11; Flower 1.x; PyTorch 2.x; python-paillier 1.5; Opacus 1.x (optional); NumPy 1.26; pandas 2.2; pinned in requirements.txt.</w:t>
            </w:r>
          </w:p>
        </w:tc>
      </w:tr>
    </w:tbl>
    <w:p>
      <w:pPr>
        <w:pStyle w:val="Normal"/>
        <w:rPr/>
      </w:pPr>
      <w:r>
        <w:rPr/>
      </w:r>
    </w:p>
    <w:p>
      <w:pPr>
        <w:pStyle w:val="Heading2"/>
        <w:rPr/>
      </w:pPr>
      <w:r>
        <w:rPr/>
        <w:t>4F — Source Code Repository</w:t>
      </w:r>
    </w:p>
    <w:p>
      <w:pPr>
        <w:pStyle w:val="Normal"/>
        <w:spacing w:before="0" w:after="100"/>
        <w:rPr/>
      </w:pPr>
      <w:r>
        <w:rPr>
          <w:b/>
          <w:bCs/>
        </w:rPr>
        <w:t xml:space="preserve">Repository URL: </w:t>
      </w:r>
      <w:hyperlink r:id="rId2">
        <w:r>
          <w:rPr>
            <w:rStyle w:val="Hyperlink"/>
          </w:rPr>
          <w:t>https://github.com/aimlin9/aks-fedavg</w:t>
        </w:r>
      </w:hyperlink>
    </w:p>
    <w:p>
      <w:pPr>
        <w:pStyle w:val="Heading1"/>
        <w:rPr/>
      </w:pPr>
      <w:r>
        <w:rPr/>
        <w:t>SECTION 5 — ETHICAL CLEARANCE PLAN</w:t>
      </w:r>
    </w:p>
    <w:p>
      <w:pPr>
        <w:pStyle w:val="Normal"/>
        <w:spacing w:before="0" w:after="100"/>
        <w:rPr/>
      </w:pPr>
      <w:r>
        <w:rPr>
          <w:b/>
          <w:bCs/>
        </w:rPr>
        <w:t xml:space="preserve">Ethics scenario: </w:t>
      </w:r>
      <w:r>
        <w:rPr/>
        <w:t>No new data is collected from students, patients, teachers, staff, or any human participant. The study uses (a) the public CIFAR-10 benchmark dataset and (b) system-performance telemetry generated entirely by the author's own controlled experiments. No institutional ethics clearance is required for this scope.</w:t>
      </w:r>
    </w:p>
    <w:tbl>
      <w:tblPr>
        <w:tblW w:w="9300" w:type="dxa"/>
        <w:jc w:val="left"/>
        <w:tblInd w:w="0" w:type="dxa"/>
        <w:tblLayout w:type="fixed"/>
        <w:tblCellMar>
          <w:top w:w="30" w:type="dxa"/>
          <w:left w:w="60" w:type="dxa"/>
          <w:bottom w:w="30" w:type="dxa"/>
          <w:right w:w="60" w:type="dxa"/>
        </w:tblCellMar>
      </w:tblPr>
      <w:tblGrid>
        <w:gridCol w:w="3098"/>
        <w:gridCol w:w="6201"/>
      </w:tblGrid>
      <w:tr>
        <w:trPr/>
        <w:tc>
          <w:tcPr>
            <w:tcW w:w="3098"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Ethics Item</w:t>
            </w:r>
          </w:p>
        </w:tc>
        <w:tc>
          <w:tcPr>
            <w:tcW w:w="62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Your Response</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Correct ethics body for sector</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KNUST Committee on Human Research, Publications and Ethics (CHRPE) — named for completeness; not engaged for this scope since no human-participant data is involved.</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Application status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Not applicable for the current scope. Would change to “Not started → In Progress” if a later extension uses de-identified real Project 12 student-progress logs.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Expected / actual approval date</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N/A for current scope.</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Data type involved</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Public benchmark dataset (CIFAR-10) + self-generated system telemetry only. No student/patient/teacher/employee/real system-log data.</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Consent process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Not applicable — no human participants.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Anonymisation method</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Not applicable — CIFAR-10 contains no personal data; telemetry records only timing and byte-size measurements of the experimental harness.</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Data storage / access control</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Code and logs stored in a private GitHub repository during development; CIFAR-10 obtained directly from its standard public distribution.</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Participants identifiable in results?</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Cross-border data?</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No.</w:t>
            </w:r>
          </w:p>
        </w:tc>
      </w:tr>
      <w:tr>
        <w:trPr/>
        <w:tc>
          <w:tcPr>
            <w:tcW w:w="3098"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Draft ethics statement</w:t>
            </w:r>
          </w:p>
        </w:tc>
        <w:tc>
          <w:tcPr>
            <w:tcW w:w="62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w:t>
            </w:r>
            <w:r>
              <w:rPr>
                <w:b w:val="false"/>
                <w:bCs w:val="false"/>
                <w:sz w:val="17"/>
                <w:szCs w:val="17"/>
              </w:rPr>
              <w:t>This study did not involve human participants or personal data. It used the public CIFAR-10 benchmark dataset and system-performance telemetry generated by the authors' own controlled experiments. No institutional ethics clearance was required.”</w:t>
            </w:r>
          </w:p>
        </w:tc>
      </w:tr>
    </w:tbl>
    <w:p>
      <w:pPr>
        <w:pStyle w:val="Normal"/>
        <w:rPr/>
      </w:pPr>
      <w:r>
        <w:rPr/>
      </w:r>
    </w:p>
    <w:p>
      <w:pPr>
        <w:pStyle w:val="Normal"/>
        <w:spacing w:before="0" w:after="140"/>
        <w:rPr/>
      </w:pPr>
      <w:r>
        <w:rPr>
          <w:i/>
          <w:iCs/>
          <w:color w:val="C00000"/>
          <w:sz w:val="19"/>
          <w:szCs w:val="19"/>
        </w:rPr>
        <w:t>Self-flag: if Project 12's real, de-identified cross-school student-progress data is later used (a natural follow-on extension), KNUST CHRPE clearance must be sought BEFORE that data is touched — this proposal's current scope deliberately avoids that requirement by using only public + self-generated data.</w:t>
      </w:r>
    </w:p>
    <w:p>
      <w:pPr>
        <w:pStyle w:val="Heading1"/>
        <w:rPr/>
      </w:pPr>
      <w:r>
        <w:rPr/>
        <w:t>SECTION 6 — PLANNED RESULTS &amp; EVALUATION METRICS</w:t>
      </w:r>
    </w:p>
    <w:p>
      <w:pPr>
        <w:pStyle w:val="Heading2"/>
        <w:rPr/>
      </w:pPr>
      <w:r>
        <w:rPr/>
        <w:t>6.1 Primary Evaluation Metrics</w:t>
      </w:r>
    </w:p>
    <w:p>
      <w:pPr>
        <w:pStyle w:val="ListParagraph"/>
        <w:numPr>
          <w:ilvl w:val="0"/>
          <w:numId w:val="62"/>
        </w:numPr>
        <w:spacing w:before="0" w:after="30"/>
        <w:rPr/>
      </w:pPr>
      <w:r>
        <w:rPr/>
        <w:t>Wall-clock latency per phase (encryption, decryption, homomorphic aggregation, communication) — primary systems metric, mean ± SD over 5 repeated runs.</w:t>
      </w:r>
    </w:p>
    <w:p>
      <w:pPr>
        <w:pStyle w:val="ListParagraph"/>
        <w:numPr>
          <w:ilvl w:val="0"/>
          <w:numId w:val="63"/>
        </w:numPr>
        <w:spacing w:before="0" w:after="30"/>
        <w:rPr/>
      </w:pPr>
      <w:r>
        <w:rPr/>
        <w:t>Ciphertext size / communication cost (bits per round) — primary systems metric.</w:t>
      </w:r>
    </w:p>
    <w:p>
      <w:pPr>
        <w:pStyle w:val="ListParagraph"/>
        <w:numPr>
          <w:ilvl w:val="0"/>
          <w:numId w:val="64"/>
        </w:numPr>
        <w:spacing w:before="0" w:after="30"/>
        <w:rPr/>
      </w:pPr>
      <w:r>
        <w:rPr/>
        <w:t>Achieved security level (bits), via the NIST SP 800-56B mapping — primary constraint-satisfaction metric.</w:t>
      </w:r>
    </w:p>
    <w:p>
      <w:pPr>
        <w:pStyle w:val="ListParagraph"/>
        <w:numPr>
          <w:ilvl w:val="0"/>
          <w:numId w:val="65"/>
        </w:numPr>
        <w:spacing w:before="0" w:after="30"/>
        <w:rPr/>
      </w:pPr>
      <w:r>
        <w:rPr/>
        <w:t>Top-1 classification accuracy on the CIFAR-10 held-out test set — secondary sanity-check metric only. AUC-PR is deliberately NOT used: CIFAR-10's 10 classes are approximately balanced and classification quality is not this study's dependent variable, so accuracy (expected near-identical across configurations, since Paillier is exact) is reported only to confirm the engineering changes affect systems performance, not model utility.</w:t>
      </w:r>
    </w:p>
    <w:p>
      <w:pPr>
        <w:pStyle w:val="ListParagraph"/>
        <w:numPr>
          <w:ilvl w:val="0"/>
          <w:numId w:val="66"/>
        </w:numPr>
        <w:spacing w:before="0" w:after="30"/>
        <w:rPr/>
      </w:pPr>
      <w:r>
        <w:rPr/>
        <w:t>Statistical significance: Wilcoxon signed-rank test, with p-values and 95% CIs for every baseline-vs-engineered comparison (REQUIRED).</w:t>
      </w:r>
    </w:p>
    <w:p>
      <w:pPr>
        <w:pStyle w:val="Heading2"/>
        <w:rPr/>
      </w:pPr>
      <w:r>
        <w:rPr/>
        <w:t>6.2 Planned Visualisations</w:t>
      </w:r>
    </w:p>
    <w:p>
      <w:pPr>
        <w:pStyle w:val="ListParagraph"/>
        <w:numPr>
          <w:ilvl w:val="0"/>
          <w:numId w:val="67"/>
        </w:numPr>
        <w:spacing w:before="0" w:after="30"/>
        <w:rPr/>
      </w:pPr>
      <w:r>
        <w:rPr/>
        <w:t>Baseline-vs-engineered comparison table/bar chart across the 5 key sizes (per the Section 4B results-table format).</w:t>
      </w:r>
    </w:p>
    <w:p>
      <w:pPr>
        <w:pStyle w:val="ListParagraph"/>
        <w:numPr>
          <w:ilvl w:val="0"/>
          <w:numId w:val="68"/>
        </w:numPr>
        <w:spacing w:before="0" w:after="30"/>
        <w:rPr/>
      </w:pPr>
      <w:r>
        <w:rPr/>
        <w:t>Federated learning convergence plot (accuracy vs. communication round), confirming utility parity across configurations.</w:t>
      </w:r>
    </w:p>
    <w:p>
      <w:pPr>
        <w:pStyle w:val="ListParagraph"/>
        <w:numPr>
          <w:ilvl w:val="0"/>
          <w:numId w:val="69"/>
        </w:numPr>
        <w:spacing w:before="0" w:after="30"/>
        <w:rPr/>
      </w:pPr>
      <w:r>
        <w:rPr/>
        <w:t>Latency-vs-security-level Pareto-frontier plot — the core RQ3 output.</w:t>
      </w:r>
    </w:p>
    <w:p>
      <w:pPr>
        <w:pStyle w:val="ListParagraph"/>
        <w:numPr>
          <w:ilvl w:val="0"/>
          <w:numId w:val="70"/>
        </w:numPr>
        <w:spacing w:before="0" w:after="30"/>
        <w:rPr/>
      </w:pPr>
      <w:r>
        <w:rPr/>
        <w:t>Communication-cost-vs-client-count line chart across the 3 simulated network profiles.</w:t>
      </w:r>
    </w:p>
    <w:p>
      <w:pPr>
        <w:pStyle w:val="ListParagraph"/>
        <w:numPr>
          <w:ilvl w:val="0"/>
          <w:numId w:val="71"/>
        </w:numPr>
        <w:spacing w:before="0" w:after="30"/>
        <w:rPr/>
      </w:pPr>
      <w:r>
        <w:rPr/>
        <w:t>P-value / confidence-interval table for all baseline-vs-engineered comparisons.</w:t>
      </w:r>
    </w:p>
    <w:p>
      <w:pPr>
        <w:pStyle w:val="Heading1"/>
        <w:rPr/>
      </w:pPr>
      <w:r>
        <w:rPr/>
        <w:t>SECTION 7 — DISCUSSION &amp; CONTRIBUTIONS PLAN</w:t>
      </w:r>
    </w:p>
    <w:p>
      <w:pPr>
        <w:pStyle w:val="Heading2"/>
        <w:rPr/>
      </w:pPr>
      <w:r>
        <w:rPr/>
        <w:t>7.1 Required Discussion Elements</w:t>
      </w:r>
    </w:p>
    <w:p>
      <w:pPr>
        <w:pStyle w:val="ListParagraph"/>
        <w:numPr>
          <w:ilvl w:val="0"/>
          <w:numId w:val="72"/>
        </w:numPr>
        <w:spacing w:before="0" w:after="30"/>
        <w:rPr/>
      </w:pPr>
      <w:r>
        <w:rPr/>
        <w:t>Interpretation: fixing key size to the slowest/least-tolerant common denominator wastes latency on better-provisioned clients/rounds where a lower-but-sufficient key length would meet the security floor; adaptive selection only spends extra key length when the floor genuinely requires it.</w:t>
      </w:r>
    </w:p>
    <w:p>
      <w:pPr>
        <w:pStyle w:val="ListParagraph"/>
        <w:numPr>
          <w:ilvl w:val="0"/>
          <w:numId w:val="73"/>
        </w:numPr>
        <w:spacing w:before="0" w:after="30"/>
        <w:rPr/>
      </w:pPr>
      <w:r>
        <w:rPr/>
        <w:t>Alignment with related work: results will be compared against Pan et al. (2024)'s CKKS finding, discussing whether the same benefit magnitude transfers to Paillier given its different (modular-exponentiation vs. lattice-based) cost structure.</w:t>
      </w:r>
    </w:p>
    <w:p>
      <w:pPr>
        <w:pStyle w:val="ListParagraph"/>
        <w:numPr>
          <w:ilvl w:val="0"/>
          <w:numId w:val="74"/>
        </w:numPr>
        <w:spacing w:before="0" w:after="30"/>
        <w:rPr/>
      </w:pPr>
      <w:r>
        <w:rPr/>
        <w:t>Limitations (anticipated): simulation-augmented (not fully real-deployment) latency for the simulated client multiplicities; CIFAR-10's gradient profile may not perfectly match the real Project 12 model; honest-but-curious threat model only (Bonawitz et al., 2017), not malicious-server/collusion settings.</w:t>
      </w:r>
    </w:p>
    <w:p>
      <w:pPr>
        <w:pStyle w:val="ListParagraph"/>
        <w:numPr>
          <w:ilvl w:val="0"/>
          <w:numId w:val="75"/>
        </w:numPr>
        <w:spacing w:before="0" w:after="30"/>
        <w:rPr/>
      </w:pPr>
      <w:r>
        <w:rPr/>
        <w:t>Threats to validity: internal (hardware/network heterogeneity only partly real); external (CIFAR-10 CNN vs. the lighter Project 12 model); construct (does measured latency map onto real deployment latency).</w:t>
      </w:r>
    </w:p>
    <w:p>
      <w:pPr>
        <w:pStyle w:val="ListParagraph"/>
        <w:numPr>
          <w:ilvl w:val="0"/>
          <w:numId w:val="76"/>
        </w:numPr>
        <w:spacing w:before="0" w:after="30"/>
        <w:rPr/>
      </w:pPr>
      <w:r>
        <w:rPr/>
        <w:t>Theoretical/methodological contribution: first systematic empirical characterization of Paillier key size as an independent variable in FL secure aggregation, and the first adaptive key-size selection mechanism engineered for it.</w:t>
      </w:r>
    </w:p>
    <w:p>
      <w:pPr>
        <w:pStyle w:val="Heading2"/>
        <w:rPr/>
      </w:pPr>
      <w:r>
        <w:rPr/>
        <w:t>7.2 Optional Discussion Elements</w:t>
      </w:r>
    </w:p>
    <w:p>
      <w:pPr>
        <w:pStyle w:val="ListParagraph"/>
        <w:numPr>
          <w:ilvl w:val="0"/>
          <w:numId w:val="77"/>
        </w:numPr>
        <w:spacing w:before="0" w:after="30"/>
        <w:rPr/>
      </w:pPr>
      <w:r>
        <w:rPr/>
        <w:t>Practical contribution: directly informs Project 12's encryption-layer design for cross-school FL in Ghana, where client devices vary widely in compute/bandwidth.</w:t>
      </w:r>
    </w:p>
    <w:p>
      <w:pPr>
        <w:pStyle w:val="ListParagraph"/>
        <w:numPr>
          <w:ilvl w:val="0"/>
          <w:numId w:val="78"/>
        </w:numPr>
        <w:spacing w:before="0" w:after="30"/>
        <w:rPr/>
      </w:pPr>
      <w:r>
        <w:rPr/>
        <w:t>SDG alignment: SDG 4 (Quality Education), SDG 9 (Innovation &amp; Infrastructure), SDG 10 (Reduced Inequalities — targets under-resourced/low-bandwidth schools).</w:t>
      </w:r>
    </w:p>
    <w:p>
      <w:pPr>
        <w:pStyle w:val="Heading1"/>
        <w:rPr/>
      </w:pPr>
      <w:r>
        <w:rPr/>
        <w:t>SECTION 8 — CONCLUSION PLAN</w:t>
      </w:r>
    </w:p>
    <w:p>
      <w:pPr>
        <w:pStyle w:val="ListParagraph"/>
        <w:numPr>
          <w:ilvl w:val="0"/>
          <w:numId w:val="79"/>
        </w:numPr>
        <w:spacing w:before="0" w:after="30"/>
        <w:rPr/>
      </w:pPr>
      <w:r>
        <w:rPr/>
        <w:t>Problem addressed: fixed-size Paillier keys impose unnecessary latency/communication cost on FL secure aggregation, especially for resource-constrained clients.</w:t>
      </w:r>
    </w:p>
    <w:p>
      <w:pPr>
        <w:pStyle w:val="ListParagraph"/>
        <w:numPr>
          <w:ilvl w:val="0"/>
          <w:numId w:val="80"/>
        </w:numPr>
        <w:spacing w:before="0" w:after="30"/>
        <w:rPr/>
      </w:pPr>
      <w:r>
        <w:rPr/>
        <w:t>Approach: AKS-FedAvg — a [F]abricated adaptive key-size selection module layered onto standard Paillier-secured FedAvg.</w:t>
      </w:r>
    </w:p>
    <w:p>
      <w:pPr>
        <w:pStyle w:val="ListParagraph"/>
        <w:numPr>
          <w:ilvl w:val="0"/>
          <w:numId w:val="81"/>
        </w:numPr>
        <w:spacing w:before="0" w:after="30"/>
        <w:rPr/>
      </w:pPr>
      <w:r>
        <w:rPr/>
        <w:t>Key findings (to be completed with real numbers post-experiment): headline Δ latency / Δ communication-cost figures from Section 4B's comparison table, at matched certified security level.</w:t>
      </w:r>
    </w:p>
    <w:p>
      <w:pPr>
        <w:pStyle w:val="ListParagraph"/>
        <w:numPr>
          <w:ilvl w:val="0"/>
          <w:numId w:val="82"/>
        </w:numPr>
        <w:spacing w:before="0" w:after="30"/>
        <w:rPr/>
      </w:pPr>
      <w:r>
        <w:rPr/>
        <w:t>Engineering contribution restated: first adaptive Paillier key-size selection mechanism for FL secure aggregation, extending a pattern previously validated only for CKKS, DP, and client selection.</w:t>
      </w:r>
    </w:p>
    <w:p>
      <w:pPr>
        <w:pStyle w:val="ListParagraph"/>
        <w:numPr>
          <w:ilvl w:val="0"/>
          <w:numId w:val="83"/>
        </w:numPr>
        <w:spacing w:before="0" w:after="30"/>
        <w:rPr/>
      </w:pPr>
      <w:r>
        <w:rPr/>
        <w:t>Limitations: partly-simulated latency; single workload family (CIFAR-10); honest-but-curious threat model only.</w:t>
      </w:r>
    </w:p>
    <w:p>
      <w:pPr>
        <w:pStyle w:val="ListParagraph"/>
        <w:numPr>
          <w:ilvl w:val="0"/>
          <w:numId w:val="84"/>
        </w:numPr>
        <w:spacing w:before="0" w:after="30"/>
        <w:rPr/>
      </w:pPr>
      <w:r>
        <w:rPr/>
        <w:t>Practical implications: directly applicable to Project 12 and similar bandwidth-constrained cross-school FL deployments.</w:t>
      </w:r>
    </w:p>
    <w:p>
      <w:pPr>
        <w:pStyle w:val="ListParagraph"/>
        <w:numPr>
          <w:ilvl w:val="0"/>
          <w:numId w:val="85"/>
        </w:numPr>
        <w:spacing w:before="0" w:after="30"/>
        <w:rPr/>
      </w:pPr>
      <w:r>
        <w:rPr/>
        <w:t>Future directions: (1) full real-hardware deployment validation; (2) malicious-server/collusion threat model; (3) combination with batching (BatchCrypt-style) for compounding gains.</w:t>
      </w:r>
    </w:p>
    <w:p>
      <w:pPr>
        <w:pStyle w:val="Heading1"/>
        <w:rPr/>
      </w:pPr>
      <w:r>
        <w:rPr/>
        <w:t>SECTION 9 — TARGET JOURNAL SELECTION</w:t>
      </w:r>
    </w:p>
    <w:p>
      <w:pPr>
        <w:pStyle w:val="Normal"/>
        <w:spacing w:before="0" w:after="100"/>
        <w:rPr/>
      </w:pPr>
      <w:r>
        <w:rPr>
          <w:b/>
          <w:bCs/>
        </w:rPr>
        <w:t xml:space="preserve">Target Journal 1 (primary): </w:t>
      </w:r>
      <w:r>
        <w:rPr/>
        <w:t>IEEE Transactions on Dependable and Secure Computing (TDSC).</w:t>
      </w:r>
    </w:p>
    <w:p>
      <w:pPr>
        <w:pStyle w:val="Normal"/>
        <w:spacing w:before="0" w:after="100"/>
        <w:rPr/>
      </w:pPr>
      <w:r>
        <w:rPr/>
        <w:t>Reason: Scopus/WoS Q1 (SJR Q1, CiteScore ≈ 13.5; confirmed via live lookup, June 2026); scope explicitly covers encryption, computational overhead, and dependability/security trade-offs in distributed systems. Directly comparable to FedPHE (Li et al., 2025), a closely related HE/heterogeneity paper published in this exact journal.</w:t>
      </w:r>
    </w:p>
    <w:p>
      <w:pPr>
        <w:pStyle w:val="Normal"/>
        <w:spacing w:before="0" w:after="100"/>
        <w:rPr/>
      </w:pPr>
      <w:r>
        <w:rPr>
          <w:b/>
          <w:bCs/>
        </w:rPr>
        <w:t xml:space="preserve">Target Journal 2 (backup): </w:t>
      </w:r>
      <w:r>
        <w:rPr/>
        <w:t>Future Generation Computer Systems (Elsevier).</w:t>
      </w:r>
    </w:p>
    <w:p>
      <w:pPr>
        <w:pStyle w:val="Normal"/>
        <w:spacing w:before="0" w:after="100"/>
        <w:rPr/>
      </w:pPr>
      <w:r>
        <w:rPr/>
        <w:t>Reason: Scopus/WoS Q1 (confirmed June 2026; IF ≈ 6.29; APC ≈ USD 3,040, confirmed via the journal's ScienceDirect page); scope covers distributed/edge systems performance, an exact fit for the systems contribution here.</w:t>
      </w:r>
    </w:p>
    <w:p>
      <w:pPr>
        <w:pStyle w:val="Normal"/>
        <w:spacing w:before="0" w:after="100"/>
        <w:rPr/>
      </w:pPr>
      <w:r>
        <w:rPr>
          <w:b/>
          <w:bCs/>
        </w:rPr>
        <w:t xml:space="preserve">Target Journal 3 (additional candidate): </w:t>
      </w:r>
      <w:r>
        <w:rPr/>
        <w:t>IEEE Internet of Things Journal.</w:t>
      </w:r>
    </w:p>
    <w:p>
      <w:pPr>
        <w:pStyle w:val="Normal"/>
        <w:spacing w:before="0" w:after="100"/>
        <w:rPr/>
      </w:pPr>
      <w:r>
        <w:rPr/>
        <w:t>Reason: Scopus/WoS Q1 (confirmed June 2026; CiteScore ≈ 17.1, IF ≈ 8.7–10.6; APC ≈ USD 2,345); actively publishes HE-secured FL work for resource-constrained/edge devices, matching this study's resource-constrained-network framing.</w:t>
      </w:r>
    </w:p>
    <w:p>
      <w:pPr>
        <w:pStyle w:val="Heading1"/>
        <w:rPr/>
      </w:pPr>
      <w:r>
        <w:rPr/>
        <w:t>SECTION 10 — WORK PLAN &amp; TIMELINE</w:t>
      </w:r>
    </w:p>
    <w:tbl>
      <w:tblPr>
        <w:tblW w:w="9300" w:type="dxa"/>
        <w:jc w:val="left"/>
        <w:tblInd w:w="0" w:type="dxa"/>
        <w:tblLayout w:type="fixed"/>
        <w:tblCellMar>
          <w:top w:w="30" w:type="dxa"/>
          <w:left w:w="60" w:type="dxa"/>
          <w:bottom w:w="30" w:type="dxa"/>
          <w:right w:w="60" w:type="dxa"/>
        </w:tblCellMar>
      </w:tblPr>
      <w:tblGrid>
        <w:gridCol w:w="2200"/>
        <w:gridCol w:w="5399"/>
        <w:gridCol w:w="1701"/>
      </w:tblGrid>
      <w:tr>
        <w:trPr/>
        <w:tc>
          <w:tcPr>
            <w:tcW w:w="22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Phase</w:t>
            </w:r>
          </w:p>
        </w:tc>
        <w:tc>
          <w:tcPr>
            <w:tcW w:w="539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Activity</w:t>
            </w:r>
          </w:p>
        </w:tc>
        <w:tc>
          <w:tcPr>
            <w:tcW w:w="17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Duration</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 — Preparation</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Finalise topic/novelty; create GitHub repository; install/pin libraries (Flower, python-paillier, PyTorch); set up Claude session for ongoing brainstorming.</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 Literature</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Verify all 10 reference DOIs; confirm Scopus/WoS indexing status; finalise the 3 baseline papers; finalise the seminal-paper citations.</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3 — Data</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Implement CIFAR-10 Dirichlet client partitioning; build the telemetry instrumentation layer on the Flower harness.</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4 — Baseline</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Phase 1: build and LOCK the three fixed-key Paillier-FedAvg baselines + unencrypted FedAvg control; record and save all metrics; never modify again.</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5 — Engineering</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Phase 2: implement the adaptive key-size selection module; build AKS-FedAvg in a separate module on identical splits/seed.</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3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6 — Evaluation</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Phase 3: run all 300+ measured rounds; compute Wilcoxon tests; build the Pareto-frontier and comparison-table visualisations.</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7 — Writing</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Draft the full paper in journal style, with the engineering contribution prominent in the methodology and results sections.</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3 weeks</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8 — Review</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Supervisor review; revisions; integrity check (Turnitin + AI-writing detection).</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 week</w:t>
            </w:r>
          </w:p>
        </w:tc>
      </w:tr>
      <w:tr>
        <w:trPr/>
        <w:tc>
          <w:tcPr>
            <w:tcW w:w="22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9 — Submission</w:t>
            </w:r>
          </w:p>
        </w:tc>
        <w:tc>
          <w:tcPr>
            <w:tcW w:w="539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Submit to IEEE TDSC; prepare cover letter, author statement, data-availability statement, repository link.</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1 week</w:t>
            </w:r>
          </w:p>
        </w:tc>
      </w:tr>
    </w:tbl>
    <w:p>
      <w:pPr>
        <w:pStyle w:val="Normal"/>
        <w:rPr/>
      </w:pPr>
      <w:r>
        <w:rPr/>
      </w:r>
    </w:p>
    <w:p>
      <w:pPr>
        <w:pStyle w:val="Normal"/>
        <w:spacing w:before="0" w:after="140"/>
        <w:rPr/>
      </w:pPr>
      <w:r>
        <w:rPr>
          <w:i/>
          <w:iCs/>
          <w:color w:val="C00000"/>
          <w:sz w:val="19"/>
          <w:szCs w:val="19"/>
        </w:rPr>
        <w:t>Total: ~18 week[ Will fill when the Calendar dates are confirmed.]</w:t>
      </w:r>
    </w:p>
    <w:p>
      <w:pPr>
        <w:pStyle w:val="Heading1"/>
        <w:rPr/>
      </w:pPr>
      <w:r>
        <w:rPr/>
        <w:t>SECTION 11 — REFERENCES</w:t>
      </w:r>
    </w:p>
    <w:p>
      <w:pPr>
        <w:pStyle w:val="Normal"/>
        <w:spacing w:before="0" w:after="100"/>
        <w:rPr/>
      </w:pPr>
      <w:r>
        <w:rPr/>
        <w:t>All references below are in APA 7 with working DOIs (verified via direct web lookup, June 2026), one consistent style throughout. Pre-2020 sources are explicitly labelled SEMINAL/foundational rather than presented as current, per the citation-compliance rule.</w:t>
      </w:r>
    </w:p>
    <w:p>
      <w:pPr>
        <w:pStyle w:val="Normal"/>
        <w:spacing w:before="0" w:after="100"/>
        <w:rPr/>
      </w:pPr>
      <w:r>
        <w:rPr/>
        <w:t>Reference 1: Paillier, P. (1999). Public-key cryptosystems based on composite degree residuosity classes. In Advances in Cryptology — EUROCRYPT ’99 (LNCS vol. 1592, pp. 223–238). Springer. https://doi.org/10.1007/3-540-48910-X_16</w:t>
      </w:r>
    </w:p>
    <w:p>
      <w:pPr>
        <w:pStyle w:val="Normal"/>
        <w:spacing w:before="0" w:after="100"/>
        <w:rPr/>
      </w:pPr>
      <w:r>
        <w:rPr/>
        <w:t>Reference 2: McMahan, H. B., Moore, E., Ramage, D., Hampson, S., &amp; Agüera y Arcas, B. (2017). Communication-efficient learning of deep networks from decentralized data. Proceedings of AISTATS 2017 (arXiv:1602.05629). https://doi.org/10.48550/arXiv.1602.05629</w:t>
      </w:r>
    </w:p>
    <w:p>
      <w:pPr>
        <w:pStyle w:val="Normal"/>
        <w:spacing w:before="0" w:after="100"/>
        <w:rPr/>
      </w:pPr>
      <w:r>
        <w:rPr/>
        <w:t>Reference 3: Bonawitz, K., Ivanov, V., Kreuter, B., Marcedone, A., McMahan, H. B., Patel, S., Ramage, D., Segal, A., &amp; Seth, K. (2017). Practical secure aggregation for privacy-preserving machine learning. Proceedings of the 2017 ACM SIGSAC CCS, 1175–1191. https://doi.org/10.1145/3133956.3133982</w:t>
      </w:r>
    </w:p>
    <w:p>
      <w:pPr>
        <w:pStyle w:val="Normal"/>
        <w:spacing w:before="0" w:after="100"/>
        <w:rPr/>
      </w:pPr>
      <w:r>
        <w:rPr/>
        <w:t>Reference 4: Beutel, D. J., Topal, T., Mathur, A., Qiu, X., Parcollet, T., de Gusmão, P. P. B., &amp; Lane, N. D. (2020). Flower: A friendly federated learning research framework. arXiv:2007.14390. https://doi.org/10.48550/arXiv.2007.14390</w:t>
      </w:r>
    </w:p>
    <w:p>
      <w:pPr>
        <w:pStyle w:val="Normal"/>
        <w:spacing w:before="0" w:after="100"/>
        <w:rPr/>
      </w:pPr>
      <w:r>
        <w:rPr/>
        <w:t>Reference 5: Yousefpour, A., Shilov, I., Sablayrolles, A., Testuggine, D., Prasad, K., Malek, M., Nguyen, J., Ghosh, S., Bharadwaj, A., Zhao, J., Cormode, G., &amp; Mironov, I. (2021). Opacus: User-friendly differential privacy library in PyTorch. arXiv:2109.12298. https://doi.org/10.48550/arXiv.2109.12298</w:t>
      </w:r>
    </w:p>
    <w:p>
      <w:pPr>
        <w:pStyle w:val="Normal"/>
        <w:spacing w:before="0" w:after="100"/>
        <w:rPr/>
      </w:pPr>
      <w:r>
        <w:rPr/>
        <w:t>Reference 6: Du, W., Li, M., Wu, L., Han, Y., Zhou, T., &amp; Yang, X. (2023). A efficient and robust privacy-preserving framework for cross-device federated learning. Complex &amp; Intelligent Systems, 9(5), 4923–4937. https://doi.org/10.1007/s40747-023-00978-9</w:t>
      </w:r>
    </w:p>
    <w:p>
      <w:pPr>
        <w:pStyle w:val="Normal"/>
        <w:spacing w:before="0" w:after="100"/>
        <w:rPr/>
      </w:pPr>
      <w:r>
        <w:rPr/>
        <w:t>Reference 7: Pan, Y., Chao, Z., He, W., Jing, Y., Hongjia, L., &amp; Liming, W. (2024). FedSHE: Privacy preserving and efficient federated learning with adaptive segmented CKKS homomorphic encryption. Cybersecurity, 7, Article 40. https://doi.org/10.1186/s42400-024-00232-w</w:t>
      </w:r>
    </w:p>
    <w:p>
      <w:pPr>
        <w:pStyle w:val="Normal"/>
        <w:spacing w:before="0" w:after="100"/>
        <w:rPr/>
      </w:pPr>
      <w:r>
        <w:rPr/>
        <w:t>Reference 8: Alqazzaz, A. (2025). Federated learning with homomorphic encryption: A privacy-preserving solution for smart cities. International Journal of Computational Intelligence Systems, 18, Article 304. https://doi.org/10.1007/s44196-025-00829-0</w:t>
      </w:r>
    </w:p>
    <w:p>
      <w:pPr>
        <w:pStyle w:val="Normal"/>
        <w:spacing w:before="0" w:after="100"/>
        <w:rPr/>
      </w:pPr>
      <w:r>
        <w:rPr/>
        <w:t>Reference 9: Guo, F., Wang, R., Wang, J., Yang, C., Liu, Z., &amp; Li, H. (2025). APDP-FL: Personalized federated learning based on adaptive differential privacy. Symmetry, 17(12), Article 2023. https://doi.org/10.3390/sym17122023</w:t>
      </w:r>
    </w:p>
    <w:p>
      <w:pPr>
        <w:pStyle w:val="Normal"/>
        <w:spacing w:before="0" w:after="100"/>
        <w:rPr/>
      </w:pPr>
      <w:r>
        <w:rPr/>
        <w:t>Reference 10: Li, Y., Yan, N., Chen, J., Wang, X., Hong, J., He, K., Wang, W., &amp; Li, B. (2025). FedPHE: A secure and efficient federated learning via packed homomorphic encryption. IEEE Transactions on Dependable and Secure Computing, 22(5), 5448–5463. https://doi.org/10.1109/TDSC.2025.3567301</w:t>
      </w:r>
    </w:p>
    <w:p>
      <w:pPr>
        <w:pStyle w:val="Heading1"/>
        <w:rPr/>
      </w:pPr>
      <w:r>
        <w:rPr/>
        <w:t>SECTION 12 — RESEARCH TEAM</w:t>
      </w:r>
    </w:p>
    <w:tbl>
      <w:tblPr>
        <w:tblW w:w="9300" w:type="dxa"/>
        <w:jc w:val="left"/>
        <w:tblInd w:w="0" w:type="dxa"/>
        <w:tblLayout w:type="fixed"/>
        <w:tblCellMar>
          <w:top w:w="30" w:type="dxa"/>
          <w:left w:w="60" w:type="dxa"/>
          <w:bottom w:w="30" w:type="dxa"/>
          <w:right w:w="60" w:type="dxa"/>
        </w:tblCellMar>
      </w:tblPr>
      <w:tblGrid>
        <w:gridCol w:w="2000"/>
        <w:gridCol w:w="2397"/>
        <w:gridCol w:w="1701"/>
        <w:gridCol w:w="1700"/>
        <w:gridCol w:w="1502"/>
      </w:tblGrid>
      <w:tr>
        <w:trPr/>
        <w:tc>
          <w:tcPr>
            <w:tcW w:w="20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Role</w:t>
            </w:r>
          </w:p>
        </w:tc>
        <w:tc>
          <w:tcPr>
            <w:tcW w:w="2397"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Full Name</w:t>
            </w:r>
          </w:p>
        </w:tc>
        <w:tc>
          <w:tcPr>
            <w:tcW w:w="1701"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Student/Staff ID</w:t>
            </w:r>
          </w:p>
        </w:tc>
        <w:tc>
          <w:tcPr>
            <w:tcW w:w="170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Email</w:t>
            </w:r>
          </w:p>
        </w:tc>
        <w:tc>
          <w:tcPr>
            <w:tcW w:w="1502"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Contribution</w:t>
            </w:r>
          </w:p>
        </w:tc>
      </w:tr>
      <w:tr>
        <w:trPr/>
        <w:tc>
          <w:tcPr>
            <w:tcW w:w="20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Lead Researcher</w:t>
            </w:r>
          </w:p>
        </w:tc>
        <w:tc>
          <w:tcPr>
            <w:tcW w:w="2397"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Gyimah Ramsey Opoku</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20993626</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oramsey609@gmail.com</w:t>
            </w:r>
          </w:p>
        </w:tc>
        <w:tc>
          <w:tcPr>
            <w:tcW w:w="1502"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All sections</w:t>
            </w:r>
          </w:p>
        </w:tc>
      </w:tr>
      <w:tr>
        <w:trPr/>
        <w:tc>
          <w:tcPr>
            <w:tcW w:w="20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Supervisor</w:t>
            </w:r>
          </w:p>
        </w:tc>
        <w:tc>
          <w:tcPr>
            <w:tcW w:w="2397"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Eric Opoku Osei</w:t>
            </w:r>
          </w:p>
        </w:tc>
        <w:tc>
          <w:tcPr>
            <w:tcW w:w="1701"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 xml:space="preserve"> </w:t>
            </w:r>
            <w:r>
              <w:rPr>
                <w:b w:val="false"/>
                <w:bCs w:val="false"/>
                <w:sz w:val="16"/>
                <w:szCs w:val="16"/>
              </w:rPr>
              <w:t>______</w:t>
            </w:r>
          </w:p>
        </w:tc>
        <w:tc>
          <w:tcPr>
            <w:tcW w:w="170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Eric.opoku.osei.rd@gmail.com</w:t>
            </w:r>
          </w:p>
        </w:tc>
        <w:tc>
          <w:tcPr>
            <w:tcW w:w="1502"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6"/>
                <w:szCs w:val="16"/>
              </w:rPr>
              <w:t>Oversight, review, approval</w:t>
            </w:r>
          </w:p>
        </w:tc>
      </w:tr>
    </w:tbl>
    <w:p>
      <w:pPr>
        <w:pStyle w:val="Heading1"/>
        <w:rPr/>
      </w:pPr>
      <w:r>
        <w:rPr/>
        <w:t>SECTION 13 — SUPERVISOR SIGN-OFF</w:t>
      </w:r>
    </w:p>
    <w:tbl>
      <w:tblPr>
        <w:tblW w:w="9300" w:type="dxa"/>
        <w:jc w:val="left"/>
        <w:tblInd w:w="0" w:type="dxa"/>
        <w:tblLayout w:type="fixed"/>
        <w:tblCellMar>
          <w:top w:w="30" w:type="dxa"/>
          <w:left w:w="60" w:type="dxa"/>
          <w:bottom w:w="30" w:type="dxa"/>
          <w:right w:w="60" w:type="dxa"/>
        </w:tblCellMar>
      </w:tblPr>
      <w:tblGrid>
        <w:gridCol w:w="4650"/>
        <w:gridCol w:w="4649"/>
      </w:tblGrid>
      <w:tr>
        <w:trPr/>
        <w:tc>
          <w:tcPr>
            <w:tcW w:w="4650"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Item</w:t>
            </w:r>
          </w:p>
        </w:tc>
        <w:tc>
          <w:tcPr>
            <w:tcW w:w="4649" w:type="dxa"/>
            <w:tcBorders>
              <w:top w:val="single" w:sz="2" w:space="0" w:color="CCCCCC"/>
              <w:left w:val="single" w:sz="2" w:space="0" w:color="CCCCCC"/>
              <w:bottom w:val="single" w:sz="2" w:space="0" w:color="CCCCCC"/>
              <w:right w:val="single" w:sz="2" w:space="0" w:color="CCCCCC"/>
            </w:tcBorders>
            <w:shd w:fill="1F3864" w:val="clear"/>
            <w:vAlign w:val="center"/>
          </w:tcPr>
          <w:p>
            <w:pPr>
              <w:pStyle w:val="Normal"/>
              <w:rPr/>
            </w:pPr>
            <w:r>
              <w:rPr>
                <w:b/>
                <w:bCs/>
                <w:color w:val="FFFFFF"/>
                <w:sz w:val="17"/>
                <w:szCs w:val="17"/>
              </w:rPr>
              <w:t>Response</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Proposal submitted for marking (date)</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25</w:t>
            </w:r>
            <w:r>
              <w:rPr>
                <w:b w:val="false"/>
                <w:bCs w:val="false"/>
                <w:sz w:val="17"/>
                <w:szCs w:val="17"/>
                <w:vertAlign w:val="superscript"/>
              </w:rPr>
              <w:t>th</w:t>
            </w:r>
            <w:r>
              <w:rPr>
                <w:b w:val="false"/>
                <w:bCs w:val="false"/>
                <w:sz w:val="17"/>
                <w:szCs w:val="17"/>
              </w:rPr>
              <w:t xml:space="preserve"> June 2026</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Self-assessment score claimed by student</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See accompanying marking report</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Assessed score (supervisor/Claude)</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See accompanying marking report</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Model Engineering Verdict</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GENUINE ENGINEERING (see marking report)</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Dataset Tier Verdict</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HYBRID, claimed — flagged ambiguity (see Section 4C note)</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Ethics Clearance Status</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COMPLIANT — not applicable, justified</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Gate Decision</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See accompanying marking report</w:t>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Supervisor Signature</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r>
          </w:p>
        </w:tc>
      </w:tr>
      <w:tr>
        <w:trPr/>
        <w:tc>
          <w:tcPr>
            <w:tcW w:w="4650" w:type="dxa"/>
            <w:tcBorders>
              <w:top w:val="single" w:sz="2" w:space="0" w:color="CCCCCC"/>
              <w:left w:val="single" w:sz="2" w:space="0" w:color="CCCCCC"/>
              <w:bottom w:val="single" w:sz="2" w:space="0" w:color="CCCCCC"/>
              <w:right w:val="single" w:sz="2" w:space="0" w:color="CCCCCC"/>
            </w:tcBorders>
            <w:vAlign w:val="center"/>
          </w:tcPr>
          <w:p>
            <w:pPr>
              <w:pStyle w:val="Normal"/>
              <w:rPr/>
            </w:pPr>
            <w:r>
              <w:rPr>
                <w:b w:val="false"/>
                <w:bCs w:val="false"/>
                <w:sz w:val="17"/>
                <w:szCs w:val="17"/>
              </w:rPr>
              <w:t>Date</w:t>
            </w:r>
          </w:p>
        </w:tc>
        <w:tc>
          <w:tcPr>
            <w:tcW w:w="4649" w:type="dxa"/>
            <w:tcBorders>
              <w:top w:val="single" w:sz="2" w:space="0" w:color="CCCCCC"/>
              <w:left w:val="single" w:sz="2" w:space="0" w:color="CCCCCC"/>
              <w:bottom w:val="single" w:sz="2" w:space="0" w:color="CCCCCC"/>
              <w:right w:val="single" w:sz="2" w:space="0" w:color="CCCCCC"/>
            </w:tcBorders>
            <w:vAlign w:val="center"/>
          </w:tcPr>
          <w:p>
            <w:pPr>
              <w:pStyle w:val="Normal"/>
              <w:rPr/>
            </w:pPr>
            <w:r>
              <w:rPr/>
              <w:t>25</w:t>
            </w:r>
            <w:r>
              <w:rPr>
                <w:vertAlign w:val="superscript"/>
              </w:rPr>
              <w:t>th</w:t>
            </w:r>
            <w:r>
              <w:rPr/>
              <w:t xml:space="preserve"> June 2026</w:t>
            </w:r>
          </w:p>
        </w:tc>
      </w:tr>
    </w:tbl>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760" w:right="760" w:gutter="0" w:header="708" w:top="765" w:footer="708" w:bottom="765"/>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r>
      <w:rPr>
        <w:sz w:val="16"/>
        <w:szCs w:val="16"/>
      </w:rPr>
      <w:t xml:space="preserve"> </w:t>
    </w:r>
    <w:r>
      <w:rPr>
        <w:sz w:val="16"/>
        <w:szCs w:val="16"/>
      </w:rPr>
      <w:t xml:space="preserve">/ </w:t>
    </w:r>
    <w:r>
      <w:rPr/>
      <w:fldChar w:fldCharType="begin"/>
    </w:r>
    <w:r>
      <w:rPr/>
      <w:instrText xml:space="preserve"> NUMPAGES </w:instrText>
    </w:r>
    <w:r>
      <w:rPr/>
      <w:fldChar w:fldCharType="separate"/>
    </w:r>
    <w:r>
      <w:rPr/>
      <w:t>10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fldChar w:fldCharType="begin"/>
    </w:r>
    <w:r>
      <w:rPr/>
      <w:instrText xml:space="preserve"> PAGE </w:instrText>
    </w:r>
    <w:r>
      <w:rPr/>
      <w:fldChar w:fldCharType="separate"/>
    </w:r>
    <w:r>
      <w:rPr/>
      <w:t>10</w:t>
    </w:r>
    <w:r>
      <w:rPr/>
      <w:fldChar w:fldCharType="end"/>
    </w:r>
    <w:r>
      <w:rPr>
        <w:sz w:val="16"/>
        <w:szCs w:val="16"/>
      </w:rPr>
      <w:t xml:space="preserve"> </w:t>
    </w:r>
    <w:r>
      <w:rPr>
        <w:sz w:val="16"/>
        <w:szCs w:val="16"/>
      </w:rPr>
      <w:t xml:space="preserve">/ </w:t>
    </w:r>
    <w:r>
      <w:rPr/>
      <w:fldChar w:fldCharType="begin"/>
    </w:r>
    <w:r>
      <w:rPr/>
      <w:instrText xml:space="preserve"> NUMPAGES </w:instrText>
    </w:r>
    <w:r>
      <w:rPr/>
      <w:fldChar w:fldCharType="separate"/>
    </w:r>
    <w:r>
      <w:rPr/>
      <w:t>10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999999"/>
        <w:sz w:val="16"/>
        <w:szCs w:val="16"/>
      </w:rPr>
      <w:t>ML Research Proposal — Draft v1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color w:val="999999"/>
        <w:sz w:val="16"/>
        <w:szCs w:val="16"/>
      </w:rPr>
      <w:t>ML Research Proposal — Draft v1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3">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4">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5">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6">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7">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8">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9">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1"/>
    <w:lvlOverride w:ilvl="0">
      <w:startOverride w:val="1"/>
    </w:lvlOverride>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bering>
</file>

<file path=word/settings.xml><?xml version="1.0" encoding="utf-8"?>
<w:settings xmlns:w="http://schemas.openxmlformats.org/wordprocessingml/2006/main">
  <w:zoom w:percent="78"/>
  <w:defaultTabStop w:val="720"/>
  <w:autoHyphenation w:val="true"/>
  <w:hyphenationZone w:val="36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200" w:after="100"/>
      <w:outlineLvl w:val="0"/>
    </w:pPr>
    <w:rPr>
      <w:rFonts w:ascii="Arial" w:hAnsi="Arial" w:eastAsia="Arial" w:cs="Arial"/>
      <w:b/>
      <w:bCs/>
      <w:color w:val="1F3864"/>
      <w:sz w:val="30"/>
      <w:szCs w:val="30"/>
    </w:rPr>
  </w:style>
  <w:style w:type="paragraph" w:styleId="Heading2">
    <w:name w:val="Heading 2"/>
    <w:basedOn w:val="Heading"/>
    <w:qFormat/>
    <w:pPr>
      <w:spacing w:before="140" w:after="80"/>
      <w:outlineLvl w:val="1"/>
    </w:pPr>
    <w:rPr>
      <w:rFonts w:ascii="Arial" w:hAnsi="Arial" w:eastAsia="Arial" w:cs="Arial"/>
      <w:b/>
      <w:bCs/>
      <w:color w:val="2E5496"/>
      <w:sz w:val="25"/>
      <w:szCs w:val="25"/>
    </w:rPr>
  </w:style>
  <w:style w:type="paragraph" w:styleId="Heading3">
    <w:name w:val="Heading 3"/>
    <w:basedOn w:val="Heading"/>
    <w:qFormat/>
    <w:pPr>
      <w:spacing w:before="140" w:after="80"/>
      <w:outlineLvl w:val="2"/>
    </w:pPr>
    <w:rPr>
      <w:rFonts w:ascii="Arial" w:hAnsi="Arial" w:eastAsia="Arial" w:cs="Arial"/>
      <w:b/>
      <w:bCs/>
      <w:i/>
      <w:iCs/>
      <w:color w:val="444444"/>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imlin9/aks-fedavg" TargetMode="Externa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76</TotalTime>
  <Application>LibreOffice/24.2.7.2$Linux_X86_64 LibreOffice_project/420$Build-2</Application>
  <AppVersion>15.0000</AppVersion>
  <Pages>10</Pages>
  <Words>5049</Words>
  <Characters>32426</Characters>
  <CharactersWithSpaces>37148</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2026-06-24T22:11:18Z</dcterms:created>
  <dc:creator>Un-named</dc:creator>
  <dc:description/>
  <dc:language>en-US</dc:language>
  <cp:lastModifiedBy/>
  <dcterms:modified xsi:type="dcterms:W3CDTF">2026-06-25T12:18:51Z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