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7280"/>
          <w:sz w:val="18"/>
        </w:rPr>
        <w:t>GROUP 7  ·  PROJECT 12</w:t>
      </w:r>
    </w:p>
    <w:p>
      <w:r>
        <w:rPr>
          <w:b/>
          <w:color w:val="0F3460"/>
          <w:sz w:val="52"/>
        </w:rPr>
        <w:t>Defense Q&amp;A Study Guide</w:t>
      </w:r>
    </w:p>
    <w:p>
      <w:pPr>
        <w:spacing w:after="280"/>
      </w:pPr>
      <w:r>
        <w:rPr>
          <w:color w:val="333333"/>
          <w:sz w:val="23"/>
        </w:rPr>
        <w:t>Cross-School Federated Learning for Privacy-Preserving Student Progress Tracking — every question we prepared for, and the answer to give.</w:t>
      </w:r>
    </w:p>
    <w:tbl>
      <w:tblPr>
        <w:tblW w:type="auto" w:w="0"/>
        <w:tblLook w:firstColumn="1" w:firstRow="1" w:lastColumn="0" w:lastRow="0" w:noHBand="0" w:noVBand="1" w:val="04A0"/>
      </w:tblPr>
      <w:tblGrid>
        <w:gridCol w:w="9746"/>
      </w:tblGrid>
      <w:tr>
        <w:tc>
          <w:tcPr>
            <w:tcW w:type="dxa" w:w="9746"/>
            <w:shd w:val="clear" w:color="auto" w:fill="FFFBEB"/>
          </w:tcPr>
          <w:p>
            <w:r>
              <w:rPr>
                <w:b/>
                <w:color w:val="92400E"/>
                <w:sz w:val="20"/>
              </w:rPr>
              <w:t xml:space="preserve">How to use this:  </w:t>
            </w:r>
            <w:r>
              <w:rPr>
                <w:color w:val="333333"/>
                <w:sz w:val="20"/>
              </w:rPr>
              <w:t>read each answer in your own words before the presentation — don't memorise verbatim. The amber-highlighted questions show the tone to use when something wasn't tested yet: state clearly what we tested, what we didn't, and why. That reads as more credible than guessing.</w:t>
            </w:r>
          </w:p>
        </w:tc>
      </w:tr>
    </w:tbl>
    <w:p>
      <w:pPr>
        <w:pStyle w:val="Heading1"/>
        <w:spacing w:before="120"/>
      </w:pPr>
      <w:r>
        <w:rPr>
          <w:color w:val="0F3460"/>
          <w:sz w:val="34"/>
        </w:rPr>
        <w:t>1.  The Dataset (OULAD)</w:t>
      </w:r>
    </w:p>
    <w:p>
      <w:pPr>
        <w:spacing w:after="200"/>
      </w:pPr>
      <w:r>
        <w:rPr>
          <w:i/>
          <w:color w:val="6B7280"/>
          <w:sz w:val="20"/>
        </w:rPr>
        <w:t>Real data, not synthetic — one of the strongest parts of the project to lean on.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F8F9FF"/>
          </w:tcPr>
          <w:p>
            <w:r>
              <w:rPr>
                <w:b/>
                <w:color w:val="6B7280"/>
                <w:sz w:val="16"/>
              </w:rPr>
              <w:t>TOTAL RECORDS</w:t>
            </w:r>
          </w:p>
          <w:p>
            <w:r>
              <w:rPr>
                <w:b/>
                <w:color w:val="0F3460"/>
                <w:sz w:val="26"/>
              </w:rPr>
              <w:t>32,593</w:t>
            </w:r>
          </w:p>
        </w:tc>
        <w:tc>
          <w:tcPr>
            <w:tcW w:type="dxa" w:w="3249"/>
            <w:shd w:val="clear" w:color="auto" w:fill="F8F9FF"/>
          </w:tcPr>
          <w:p>
            <w:r>
              <w:rPr>
                <w:b/>
                <w:color w:val="6B7280"/>
                <w:sz w:val="16"/>
              </w:rPr>
              <w:t>REAL QUARTERS</w:t>
            </w:r>
          </w:p>
          <w:p>
            <w:r>
              <w:rPr>
                <w:b/>
                <w:color w:val="0F3460"/>
                <w:sz w:val="26"/>
              </w:rPr>
              <w:t>4</w:t>
            </w:r>
          </w:p>
        </w:tc>
        <w:tc>
          <w:tcPr>
            <w:tcW w:type="dxa" w:w="3249"/>
            <w:shd w:val="clear" w:color="auto" w:fill="F8F9FF"/>
          </w:tcPr>
          <w:p>
            <w:r>
              <w:rPr>
                <w:b/>
                <w:color w:val="6B7280"/>
                <w:sz w:val="16"/>
              </w:rPr>
              <w:t>FEATURES ENGINEERED</w:t>
            </w:r>
          </w:p>
          <w:p>
            <w:r>
              <w:rPr>
                <w:b/>
                <w:color w:val="0F3460"/>
                <w:sz w:val="26"/>
              </w:rPr>
              <w:t>8</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OULAD and not real Ghanaian student data?</w:t>
            </w:r>
          </w:p>
          <w:p>
            <w:pPr>
              <w:spacing w:before="80" w:after="40"/>
            </w:pPr>
            <w:r>
              <w:rPr>
                <w:color w:val="333333"/>
                <w:sz w:val="21"/>
              </w:rPr>
              <w:t>OULAD is the same substitution strategy used by the FL-education papers we cite — Salehi et al. used it too. It's public, real, and anonymised, and large enough (32,593 records) to simulate realistic non-IID school variation, without the ethical and access barriers of collecting real Ghanaian student records for a course project. We partition it by real registration quarter (2013B/2013J/2014B/2014J) to simulate distinct school intakes, rather than generating synthetic data from scratch.</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OULAD doesn't have "attendance" or "course difficulty" fields — how did you get those?</w:t>
            </w:r>
          </w:p>
          <w:p>
            <w:pPr>
              <w:spacing w:before="80" w:after="40"/>
            </w:pPr>
            <w:r>
              <w:rPr>
                <w:color w:val="333333"/>
                <w:sz w:val="21"/>
              </w:rPr>
              <w:t>We engineered them as documented proxies from the raw VLE (virtual learning environment) click logs and assessment records — for example, attendance_rate is the fraction of days a student had any VLE activity, and course_difficulty is a per-module pass-rate ranking. This is disclosed explicitly in our methodology, not hidden — it's a standard technique when adapting a dataset built for one purpose to a different modelling task.</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do quarters map to only 4 school nodes when your proposal says 3–5?</w:t>
            </w:r>
          </w:p>
          <w:p>
            <w:pPr>
              <w:spacing w:before="80" w:after="40"/>
            </w:pPr>
            <w:r>
              <w:rPr>
                <w:color w:val="333333"/>
                <w:sz w:val="21"/>
              </w:rPr>
              <w:t>OULAD genuinely only has 4 real registration quarters. For the 5-node configuration, we split the largest quarter (2014J, 11,260 students) by course-module group into two further nodes, which we document explicitly as a necessary adaptation — we didn't quietly force a 5th node that doesn't reflect real data structure.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What's the at_risk label based on?</w:t>
            </w:r>
          </w:p>
          <w:p>
            <w:pPr>
              <w:spacing w:before="80" w:after="40"/>
            </w:pPr>
            <w:r>
              <w:rPr>
                <w:color w:val="333333"/>
                <w:sz w:val="21"/>
              </w:rPr>
              <w:t>at_risk = 1 if the student's real OULAD final result was Withdrawn or Fail, 0 otherwise — a standard convention already used in the FL-education literature we cite. Nothing invented; it comes straight from the real outcome field.</w:t>
            </w:r>
          </w:p>
        </w:tc>
      </w:tr>
    </w:tbl>
    <w:p>
      <w:pPr>
        <w:spacing w:after="40"/>
      </w:pPr>
    </w:p>
    <w:p>
      <w:r>
        <w:br w:type="page"/>
      </w:r>
    </w:p>
    <w:p>
      <w:pPr>
        <w:pStyle w:val="Heading1"/>
        <w:spacing w:before="120"/>
      </w:pPr>
      <w:r>
        <w:rPr>
          <w:color w:val="0F3460"/>
          <w:sz w:val="34"/>
        </w:rPr>
        <w:t>2.  Privacy Design — DP-SGD + Paillier</w:t>
      </w:r>
    </w:p>
    <w:p>
      <w:pPr>
        <w:spacing w:after="200"/>
      </w:pPr>
      <w:r>
        <w:rPr>
          <w:i/>
          <w:color w:val="6B7280"/>
          <w:sz w:val="20"/>
        </w:rPr>
        <w:t>Two layers, protecting against two different threats — the distinction lecturers probe hardest.</w:t>
      </w: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do you need both DP-SGD and Paillier? Isn't one enough?</w:t>
            </w:r>
          </w:p>
          <w:p>
            <w:pPr>
              <w:spacing w:before="80" w:after="40"/>
            </w:pPr>
            <w:r>
              <w:rPr>
                <w:color w:val="333333"/>
                <w:sz w:val="21"/>
              </w:rPr>
              <w:t>They protect against different threats. DP-SGD protects against someone analysing the content of a model update to infer facts about individual students, even if they can see the update. Paillier protects against the server itself (or anyone intercepting network traffic) seeing the update at all.</w:t>
            </w:r>
          </w:p>
          <w:p>
            <w:pPr>
              <w:spacing w:before="120" w:after="40"/>
            </w:pPr>
            <w:r>
              <w:rPr>
                <w:color w:val="333333"/>
                <w:sz w:val="21"/>
              </w:rPr>
              <w:t>Put another way: DP-SGD answers "is this update statistically safe to reveal?" Paillier answers "who is allowed to look at it at all?" Genuinely separate questions — you could have one without the other, but then you're only covered against one kind of attacker.</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If DP-SGD already protects individual students, why bother encrypting the update with Paillier too?</w:t>
            </w:r>
          </w:p>
          <w:p>
            <w:pPr>
              <w:spacing w:before="80" w:after="40"/>
            </w:pPr>
            <w:r>
              <w:rPr>
                <w:color w:val="333333"/>
                <w:sz w:val="21"/>
              </w:rPr>
              <w:t>DP noise makes the update statistically safe to reveal — it's still the actual number being transmitted. Without Paillier, the server (or anyone sniffing the network) sees each school's real, DP-noised update in the clear. With Paillier, they only ever see ciphertext.</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does epsilon (ε) actually mean, in plain terms?</w:t>
            </w:r>
          </w:p>
          <w:p>
            <w:pPr>
              <w:spacing w:before="80" w:after="40"/>
            </w:pPr>
            <w:r>
              <w:rPr>
                <w:color w:val="333333"/>
                <w:sz w:val="21"/>
              </w:rPr>
              <w:t>It bounds how much any single student's presence or absence could change the model's output. Smaller ε means a stronger guarantee. We target ε ≤ 3.0 per round, and our privacy-accuracy sweep shows F1 stays strong (roughly 0.91–0.94) even down to ε≈0.07 — the strongest privacy setting we tested — so the accuracy cost of strong privacy here is genuinely small.</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Doesn't Paillier decryption on the server defeat the purpose — the server still learns the combined model?</w:t>
            </w:r>
          </w:p>
          <w:p>
            <w:pPr>
              <w:spacing w:before="80" w:after="40"/>
            </w:pPr>
            <w:r>
              <w:rPr>
                <w:color w:val="333333"/>
                <w:sz w:val="21"/>
              </w:rPr>
              <w:t>Yes, by design — the server is meant to learn the aggregated global model; that's the whole point of federated learning. What it must never learn is any individual school's raw update. Paillier's homomorphic addition means the server only ever decrypts the already-combined sum, never a single school's contribution in isolation.</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stops the server from analysing the encrypted update anyway?</w:t>
            </w:r>
          </w:p>
          <w:p>
            <w:pPr>
              <w:spacing w:before="80" w:after="40"/>
            </w:pPr>
            <w:r>
              <w:rPr>
                <w:color w:val="333333"/>
                <w:sz w:val="21"/>
              </w:rPr>
              <w:t>Semantic security — Paillier ciphertexts don't leak anything about the plaintext even to someone with unlimited computation on the ciphertext alone. The server can only produce meaningful output by decrypting, and by construction it only ever decrypts the already-aggregated sum across all schools that round.</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actually happens on the wire when Paillier is on — describe it precisely.</w:t>
            </w:r>
          </w:p>
          <w:p>
            <w:pPr>
              <w:spacing w:before="80" w:after="40"/>
            </w:pPr>
            <w:r>
              <w:rPr>
                <w:color w:val="333333"/>
                <w:sz w:val="21"/>
              </w:rPr>
              <w:t>Each of the 2,689 model parameters gets encrypted individually into its own Paillier ciphertext, serialized to a big integer string, sent as JSON. The server multiplies each school's ciphertext-array by that school's FedAvg weight — Paillier supports this as scalar multiplication on ciphertext — then adds all schools' weighted ciphertext-arrays together element-wise, still encrypted. Only that single combined result gets decrypted.</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FFBEB"/>
            <w:tcBorders>
              <w:left w:val="single" w:sz="28" w:color="F59E0B"/>
            </w:tcBorders>
          </w:tcPr>
          <w:p>
            <w:pPr>
              <w:spacing w:after="80"/>
            </w:pPr>
            <w:r>
              <w:rPr>
                <w:b/>
                <w:color w:val="92400E"/>
                <w:sz w:val="23"/>
              </w:rPr>
              <w:t>[Honest answer] Couldn't a malicious school lie about how many students it has, to game the FedAvg weighting?</w:t>
            </w:r>
          </w:p>
          <w:p>
            <w:pPr>
              <w:spacing w:before="80" w:after="40"/>
            </w:pPr>
            <w:r>
              <w:rPr>
                <w:color w:val="333333"/>
                <w:sz w:val="21"/>
              </w:rPr>
              <w:t>Honestly — yes, and we don't defend against that. FedAvg trusts each client's reported sample count. It's a known open problem in federated learning generally (robust aggregation against malicious clients is its own research area). Our threat model here is privacy-preserving collaboration between honest-but-curious schools, not defense against an actively malicious participant.</w:t>
            </w:r>
          </w:p>
        </w:tc>
      </w:tr>
    </w:tbl>
    <w:p>
      <w:pPr>
        <w:spacing w:after="40"/>
      </w:pPr>
    </w:p>
    <w:p>
      <w:r>
        <w:br w:type="page"/>
      </w:r>
    </w:p>
    <w:p>
      <w:pPr>
        <w:pStyle w:val="Heading1"/>
        <w:spacing w:before="120"/>
      </w:pPr>
      <w:r>
        <w:rPr>
          <w:color w:val="0F3460"/>
          <w:sz w:val="34"/>
        </w:rPr>
        <w:t>3.  Results &amp; Statistical Proof</w:t>
      </w:r>
    </w:p>
    <w:p>
      <w:pPr>
        <w:spacing w:after="200"/>
      </w:pPr>
      <w:r>
        <w:rPr>
          <w:i/>
          <w:color w:val="6B7280"/>
          <w:sz w:val="20"/>
        </w:rPr>
        <w:t>This is the section with real evidence behind it — use the actual numbers, don't round them off.</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F8F9FF"/>
          </w:tcPr>
          <w:p>
            <w:r>
              <w:rPr>
                <w:b/>
                <w:color w:val="6B7280"/>
                <w:sz w:val="16"/>
              </w:rPr>
              <w:t>BASELINE F1</w:t>
            </w:r>
          </w:p>
          <w:p>
            <w:r>
              <w:rPr>
                <w:b/>
                <w:color w:val="0F3460"/>
                <w:sz w:val="26"/>
              </w:rPr>
              <w:t>0.9386</w:t>
            </w:r>
          </w:p>
        </w:tc>
        <w:tc>
          <w:tcPr>
            <w:tcW w:type="dxa" w:w="3249"/>
            <w:shd w:val="clear" w:color="auto" w:fill="F8F9FF"/>
          </w:tcPr>
          <w:p>
            <w:r>
              <w:rPr>
                <w:b/>
                <w:color w:val="6B7280"/>
                <w:sz w:val="16"/>
              </w:rPr>
              <w:t>PAIRED T-TEST P</w:t>
            </w:r>
          </w:p>
          <w:p>
            <w:r>
              <w:rPr>
                <w:b/>
                <w:color w:val="0F3460"/>
                <w:sz w:val="26"/>
              </w:rPr>
              <w:t>0.9156</w:t>
            </w:r>
          </w:p>
        </w:tc>
        <w:tc>
          <w:tcPr>
            <w:tcW w:type="dxa" w:w="3249"/>
            <w:shd w:val="clear" w:color="auto" w:fill="F8F9FF"/>
          </w:tcPr>
          <w:p>
            <w:r>
              <w:rPr>
                <w:b/>
                <w:color w:val="6B7280"/>
                <w:sz w:val="16"/>
              </w:rPr>
              <w:t>COHEN'S D</w:t>
            </w:r>
          </w:p>
          <w:p>
            <w:r>
              <w:rPr>
                <w:b/>
                <w:color w:val="0F3460"/>
                <w:sz w:val="26"/>
              </w:rPr>
              <w:t>-0.05</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Is a small percentage-point difference between federated and centralised F1 actually meaningful, or just noise?</w:t>
            </w:r>
          </w:p>
          <w:p>
            <w:pPr>
              <w:spacing w:before="80" w:after="40"/>
            </w:pPr>
            <w:r>
              <w:rPr>
                <w:color w:val="333333"/>
                <w:sz w:val="21"/>
              </w:rPr>
              <w:t>We ran 5 independent bootstrap resamples of the train/test split, training both a centralised and federated model on each. A paired t-test gave p = 0.9156 — nowhere near the 0.05 significance threshold — meaning we cannot say federated and centralised performance differ at all. Cohen's d was -0.05, a negligible effect size. The small differences you see round to round are resampling noise, not a real performance gap.</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Your proposal says "5 independent random partitions" for the statistical test — but you only have 4 real quarters. How did you resolve that?</w:t>
            </w:r>
          </w:p>
          <w:p>
            <w:pPr>
              <w:spacing w:before="80" w:after="40"/>
            </w:pPr>
            <w:r>
              <w:rPr>
                <w:color w:val="333333"/>
                <w:sz w:val="21"/>
              </w:rPr>
              <w:t>We reframed it: instead of drawing 5 random school partitions (impossible with only 4 real quarters), we drew 5 independent random train/test splits within the same fixed real-quarter school assignment, and ran the full centralised-vs-federated comparison on each. That gives 5 genuinely independent paired observations for the significance test, while still using 100% real data throughout.</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did you disable DP and Paillier for that statistical test?</w:t>
            </w:r>
          </w:p>
          <w:p>
            <w:pPr>
              <w:spacing w:before="80" w:after="40"/>
            </w:pPr>
            <w:r>
              <w:rPr>
                <w:color w:val="333333"/>
                <w:sz w:val="21"/>
              </w:rPr>
              <w:t>That test validates Objective 1 specifically — federated accuracy parity with centralised training. Objective 2 (the encryption guarantee) is a separate, already-validated claim via the cryptographic audit log. Mixing DP noise into the parity test would conflate two different questions — "does FL work as well as centralised training" and "what does privacy cost you" — so we isolated them.</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FFBEB"/>
            <w:tcBorders>
              <w:left w:val="single" w:sz="28" w:color="F59E0B"/>
            </w:tcBorders>
          </w:tcPr>
          <w:p>
            <w:pPr>
              <w:spacing w:after="80"/>
            </w:pPr>
            <w:r>
              <w:rPr>
                <w:b/>
                <w:color w:val="92400E"/>
                <w:sz w:val="23"/>
              </w:rPr>
              <w:t>[Honest answer] Does the same F1 parity hold at 4 or 5 nodes, not just 3?</w:t>
            </w:r>
          </w:p>
          <w:p>
            <w:pPr>
              <w:spacing w:before="80" w:after="40"/>
            </w:pPr>
            <w:r>
              <w:rPr>
                <w:color w:val="333333"/>
                <w:sz w:val="21"/>
              </w:rPr>
              <w:t>We smoke-tested the full pipeline at 4 and 5 nodes and confirmed it runs correctly end-to-end with strong F1 (~0.93 in both cases), but the formal 5-seed statistical significance test was only run at 3 nodes. Extending it to 4/5-node configs would be a natural next step, not something we've formally claimed yet.</w:t>
            </w:r>
          </w:p>
        </w:tc>
      </w:tr>
    </w:tbl>
    <w:p>
      <w:pPr>
        <w:spacing w:after="40"/>
      </w:pPr>
    </w:p>
    <w:p>
      <w:r>
        <w:br w:type="page"/>
      </w:r>
    </w:p>
    <w:p>
      <w:pPr>
        <w:pStyle w:val="Heading1"/>
        <w:spacing w:before="120"/>
      </w:pPr>
      <w:r>
        <w:rPr>
          <w:color w:val="0F3460"/>
          <w:sz w:val="34"/>
        </w:rPr>
        <w:t>4.  Systems &amp; Architecture</w:t>
      </w:r>
    </w:p>
    <w:p>
      <w:pPr>
        <w:spacing w:after="200"/>
      </w:pPr>
      <w:r>
        <w:rPr>
          <w:i/>
          <w:color w:val="6B7280"/>
          <w:sz w:val="20"/>
        </w:rPr>
        <w:t>The infrastructure decisions — why Flower, why this model size, what happens when a school drops out.</w:t>
      </w: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Flower specifically, not a custom solution?</w:t>
            </w:r>
          </w:p>
          <w:p>
            <w:pPr>
              <w:spacing w:before="80" w:after="40"/>
            </w:pPr>
            <w:r>
              <w:rPr>
                <w:color w:val="333333"/>
                <w:sz w:val="21"/>
              </w:rPr>
              <w:t>It handles the client/server communication protocol, round scheduling, and client sampling out of the box, and exposes a Strategy interface we could override to inject Paillier aggregation — PaillierFedAvg in server/strategy.py. Writing that networking layer from scratch would be infrastructure work orthogonal to the actual research contribution.</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happens if a school goes offline mid-round?</w:t>
            </w:r>
          </w:p>
          <w:p>
            <w:pPr>
              <w:spacing w:before="80" w:after="40"/>
            </w:pPr>
            <w:r>
              <w:rPr>
                <w:color w:val="333333"/>
                <w:sz w:val="21"/>
              </w:rPr>
              <w:t>The server samples only the schools actually online for that round — client_manager tracks who's registered, and a school marked offline never gets asked to train. Its status shows "OFFLINE — queued" on the dashboard, and training continues with the remaining schools. For real deployment (not just the live demo toggle), a separate nightly cron sync daemon queues a school's update locally if it's genuinely disconnected, and retransmits it automatically the next time it's online.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is the MLP so small — only two hidden layers?</w:t>
            </w:r>
          </w:p>
          <w:p>
            <w:pPr>
              <w:spacing w:before="80" w:after="40"/>
            </w:pPr>
            <w:r>
              <w:rPr>
                <w:color w:val="333333"/>
                <w:sz w:val="21"/>
              </w:rPr>
              <w:t>The proposal spec fixes this architecture (8→64→32→1) specifically so training is fast enough to run many FL rounds on constrained hardware like a Pi 4 — the research contribution here is the federated/privacy infrastructure, not squeezing out extra accuracy from a bigger model. Given the baseline already hits F1 0.94 and AUC 0.98 on this architecture, there wasn't a compelling case to complicate it.</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FFBEB"/>
            <w:tcBorders>
              <w:left w:val="single" w:sz="28" w:color="F59E0B"/>
            </w:tcBorders>
          </w:tcPr>
          <w:p>
            <w:pPr>
              <w:spacing w:after="80"/>
            </w:pPr>
            <w:r>
              <w:rPr>
                <w:b/>
                <w:color w:val="92400E"/>
                <w:sz w:val="23"/>
              </w:rPr>
              <w:t>[Honest answer] Has this actually run on a Raspberry Pi, like the proposal specifies?</w:t>
            </w:r>
          </w:p>
          <w:p>
            <w:pPr>
              <w:spacing w:before="80" w:after="40"/>
            </w:pPr>
            <w:r>
              <w:rPr>
                <w:color w:val="333333"/>
                <w:sz w:val="21"/>
              </w:rPr>
              <w:t>Not yet — the code and deployment script (deploy_client.sh) are ready and correct, and comm overhead / latency are already logged automatically every round, but real Pi hardware benchmarking (latency, energy via UM25C, packet-loss testing) hasn't been run. It's the one proposal objective still unproven on physical hardware rather than in simulation.</w:t>
            </w:r>
          </w:p>
        </w:tc>
      </w:tr>
    </w:tbl>
    <w:p>
      <w:pPr>
        <w:spacing w:after="40"/>
      </w:pPr>
    </w:p>
    <w:p>
      <w:r>
        <w:br w:type="page"/>
      </w:r>
    </w:p>
    <w:p>
      <w:pPr>
        <w:pStyle w:val="Heading1"/>
        <w:spacing w:before="120"/>
      </w:pPr>
      <w:r>
        <w:rPr>
          <w:color w:val="0F3460"/>
          <w:sz w:val="34"/>
        </w:rPr>
        <w:t>5.  Reading the Metrics Right</w:t>
      </w:r>
    </w:p>
    <w:p>
      <w:pPr>
        <w:spacing w:after="200"/>
      </w:pPr>
      <w:r>
        <w:rPr>
          <w:i/>
          <w:color w:val="6B7280"/>
          <w:sz w:val="20"/>
        </w:rPr>
        <w:t>These trip people up because the numbers look similar but answer different questions.</w:t>
      </w: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does "Balanced Accuracy" mean, and why isn't it the same as AUC?</w:t>
            </w:r>
          </w:p>
          <w:p>
            <w:pPr>
              <w:spacing w:before="80" w:after="40"/>
            </w:pPr>
            <w:r>
              <w:rPr>
                <w:color w:val="333333"/>
                <w:sz w:val="21"/>
              </w:rPr>
              <w:t>Balanced accuracy is the average of sensitivity (catching real at-risk students) and specificity (correctly leaving safe students alone) — computed at one specific decision threshold the model commits to. AUC measures something different: the model's ability to rank at-risk above not-at-risk students correctly, across every possible threshold at once.</w:t>
            </w:r>
          </w:p>
          <w:p>
            <w:pPr>
              <w:spacing w:before="120" w:after="40"/>
            </w:pPr>
            <w:r>
              <w:rPr>
                <w:color w:val="333333"/>
                <w:sz w:val="21"/>
              </w:rPr>
              <w:t>AUC is the ceiling — the model's full separating potential. Balanced accuracy is how much of that ceiling gets realised once you force one concrete yes/no decision per student. AUC is always ≥ balanced accuracy at any single threshold; a big gap between them would be the thing worth investigating, not a small one.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threshold does the model actually use — is it 0.5?</w:t>
            </w:r>
          </w:p>
          <w:p>
            <w:pPr>
              <w:spacing w:before="80" w:after="40"/>
            </w:pPr>
            <w:r>
              <w:rPr>
                <w:color w:val="333333"/>
                <w:sz w:val="21"/>
              </w:rPr>
              <w:t>No — the code never uses a fixed 0.5. Every evaluation computes its own cutoff via Youden's J statistic (the point on the ROC curve that maximises true-positive rate minus false-positive rate), recomputed per school, per round, from that round's own data. In one real run this came out to 0.5821, not 0.5 — a genuinely different, evidence-based number each time.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How would you actually identify a specific at-risk student?</w:t>
            </w:r>
          </w:p>
          <w:p>
            <w:pPr>
              <w:spacing w:before="80" w:after="40"/>
            </w:pPr>
            <w:r>
              <w:rPr>
                <w:color w:val="333333"/>
                <w:sz w:val="21"/>
              </w:rPr>
              <w:t>Two different questions get conflated here. The actual count of at-risk students is just the real label already in the data (e.g. school_gamma is 57% at-risk) — nothing to do with the model. Spotting one specific student means feeding their features through the trained model to get a probability, then comparing it against that round's threshold.</w:t>
            </w:r>
          </w:p>
          <w:p>
            <w:pPr>
              <w:spacing w:before="120" w:after="40"/>
            </w:pPr>
            <w:r>
              <w:rPr>
                <w:color w:val="333333"/>
                <w:sz w:val="21"/>
              </w:rPr>
              <w:t>Important point for the defense: our dashboard deliberately never does this for individual students. Per-student predictions would only ever happen locally, inside a school's own system, on that school's own roster — never surfaced to the district-level dashboard, which only ever shows aggregated numbers. That's not a missing feature, it's the actual privacy guarantee working as designed.</w:t>
            </w:r>
          </w:p>
        </w:tc>
      </w:tr>
    </w:tbl>
    <w:p>
      <w:pPr>
        <w:spacing w:after="40"/>
      </w:pPr>
    </w:p>
    <w:p>
      <w:r>
        <w:br w:type="page"/>
      </w:r>
    </w:p>
    <w:p>
      <w:pPr>
        <w:pStyle w:val="Heading1"/>
        <w:spacing w:before="120"/>
      </w:pPr>
      <w:r>
        <w:rPr>
          <w:color w:val="0F3460"/>
          <w:sz w:val="34"/>
        </w:rPr>
        <w:t>6.  Walking Through the Dashboard</w:t>
      </w:r>
    </w:p>
    <w:p>
      <w:pPr>
        <w:spacing w:after="200"/>
      </w:pPr>
      <w:r>
        <w:rPr>
          <w:i/>
          <w:color w:val="6B7280"/>
          <w:sz w:val="20"/>
        </w:rPr>
        <w:t>If asked to explain what's on screen during the live demo, here's the tour.</w:t>
      </w: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 do the header badges and the six metric cards mean?</w:t>
            </w:r>
          </w:p>
          <w:p>
            <w:pPr>
              <w:spacing w:before="80" w:after="40"/>
            </w:pPr>
            <w:r>
              <w:rPr>
                <w:color w:val="333333"/>
                <w:sz w:val="21"/>
              </w:rPr>
              <w:t>Header badges show the live config for the current run: Flower version, Paillier key size, DP-SGD status, and Idle/Running state.</w:t>
            </w:r>
          </w:p>
          <w:p>
            <w:pPr>
              <w:spacing w:before="120" w:after="40"/>
            </w:pPr>
            <w:r>
              <w:rPr>
                <w:color w:val="333333"/>
                <w:sz w:val="21"/>
              </w:rPr>
              <w:t>The six cards: Current Round (progress through the configured total); F1-Score (macro) (primary evaluation metric); Balanced Accuracy + AUC (see Section 5); Privacy Budget ε (worst case across all schools that round); Comm. Overhead (encrypted MB transmitted per round — target &lt;50MB); School Nodes (how many participated vs how many are offline).</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Why does the Privacy-Accuracy chart show data before you even start a simulation, but the Convergence chart doesn't?</w:t>
            </w:r>
          </w:p>
          <w:p>
            <w:pPr>
              <w:spacing w:before="80" w:after="40"/>
            </w:pPr>
            <w:r>
              <w:rPr>
                <w:color w:val="333333"/>
                <w:sz w:val="21"/>
              </w:rPr>
              <w:t>They pull from two different places. The Privacy-Accuracy chart reads a pre-computed file (results/privacy_accuracy_tradeoff.json) generated once offline by privacy_accuracy_sweep.py — it shows up immediately because the file already exists. The Convergence and Comm. Overhead charts read live telemetry from an actual running simulation, so they correctly show "No data yet" until you click Start.</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color="auto" w:fill="F8F9FF"/>
            <w:tcBorders>
              <w:left w:val="single" w:sz="28" w:color="6366F1"/>
            </w:tcBorders>
          </w:tcPr>
          <w:p>
            <w:pPr>
              <w:spacing w:after="80"/>
            </w:pPr>
            <w:r>
              <w:rPr>
                <w:b/>
                <w:color w:val="4F46E5"/>
                <w:sz w:val="23"/>
              </w:rPr>
              <w:t>Q  What's the completion summary popup for?</w:t>
            </w:r>
          </w:p>
          <w:p>
            <w:pPr>
              <w:spacing w:before="80" w:after="40"/>
            </w:pPr>
            <w:r>
              <w:rPr>
                <w:color w:val="333333"/>
                <w:sz w:val="21"/>
              </w:rPr>
              <w:t>When a run finishes, a modal automatically summarises the final F1, balanced accuracy, AUC, max privacy budget, total communication overhead, active config, and — most usefully for the demo — a direct pass/fail line against the centralised baseline ("✓ Within the 5pp target"), which is Objective 1 confirmed live, on screen, the moment a round finishes.</w:t>
            </w:r>
          </w:p>
        </w:tc>
      </w:tr>
    </w:tbl>
    <w:p>
      <w:pPr>
        <w:spacing w:after="40"/>
      </w:pPr>
    </w:p>
    <w:p>
      <w:pPr>
        <w:spacing w:before="480"/>
        <w:jc w:val="center"/>
      </w:pPr>
      <w:r>
        <w:rPr>
          <w:color w:val="6B7280"/>
          <w:sz w:val="18"/>
        </w:rPr>
        <w:t>Cross-School Federated Learning — Group 7 — Defense Q&amp;A Study Guide</w:t>
        <w:br/>
        <w:t>Compiled for presentation preparation — share freely within the group</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