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B7280"/>
          <w:sz w:val="18"/>
        </w:rPr>
        <w:t>GROUP 7  ·  PROJECT 12</w:t>
      </w:r>
    </w:p>
    <w:p>
      <w:r>
        <w:rPr>
          <w:b/>
          <w:color w:val="0F3460"/>
          <w:sz w:val="52"/>
        </w:rPr>
        <w:t>Defense Q&amp;A Study Guide</w:t>
      </w:r>
    </w:p>
    <w:p>
      <w:pPr>
        <w:spacing w:after="280"/>
      </w:pPr>
      <w:r>
        <w:rPr>
          <w:color w:val="333333"/>
          <w:sz w:val="23"/>
        </w:rPr>
        <w:t>Cross-School Federated Learning for Privacy-Preserving Student Progress Tracking — every question we prepared for, and the answer to give.</w:t>
      </w:r>
    </w:p>
    <w:tbl>
      <w:tblPr>
        <w:tblW w:type="auto" w:w="0"/>
        <w:tblLook w:firstColumn="1" w:firstRow="1" w:lastColumn="0" w:lastRow="0" w:noHBand="0" w:noVBand="1" w:val="04A0"/>
      </w:tblPr>
      <w:tblGrid>
        <w:gridCol w:w="9746"/>
      </w:tblGrid>
      <w:tr>
        <w:tc>
          <w:tcPr>
            <w:tcW w:type="dxa" w:w="9746"/>
            <w:shd w:val="clear" w:color="auto" w:fill="FFFBEB"/>
          </w:tcPr>
          <w:p>
            <w:r>
              <w:rPr>
                <w:b/>
                <w:color w:val="92400E"/>
                <w:sz w:val="20"/>
              </w:rPr>
              <w:t xml:space="preserve">How to use this:  </w:t>
            </w:r>
            <w:r>
              <w:rPr>
                <w:color w:val="333333"/>
                <w:sz w:val="20"/>
              </w:rPr>
              <w:t>read each answer in your own words before the presentation — don't memorise verbatim. The amber-highlighted questions show the tone to use when something wasn't tested yet: state clearly what we tested, what we didn't, and why. That reads as more credible than guessing.</w:t>
            </w:r>
          </w:p>
        </w:tc>
      </w:tr>
    </w:tbl>
    <w:p>
      <w:pPr>
        <w:pStyle w:val="Heading1"/>
        <w:spacing w:before="120"/>
      </w:pPr>
      <w:r>
        <w:rPr>
          <w:color w:val="0F3460"/>
          <w:sz w:val="34"/>
        </w:rPr>
        <w:t>1.  What This Project Is — Technical Framing</w:t>
      </w:r>
    </w:p>
    <w:p>
      <w:pPr>
        <w:spacing w:after="200"/>
      </w:pPr>
      <w:r>
        <w:rPr>
          <w:i/>
          <w:color w:val="6B7280"/>
          <w:sz w:val="20"/>
        </w:rPr>
        <w:t>Say this first if asked to summarise the project — it's precise, not just descriptive.</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In one technically precise sentence, what is this project?</w:t>
            </w:r>
          </w:p>
          <w:p>
            <w:pPr>
              <w:spacing w:before="80" w:after="40"/>
            </w:pPr>
            <w:r>
              <w:rPr>
                <w:color w:val="333333"/>
                <w:sz w:val="21"/>
              </w:rPr>
              <w:t>A cross-silo federated learning system that trains a shared binary classifier for student at-risk prediction across multiple data-owning institutions (simulated schools), using FedAvg for parameter aggregation, DP-SGD for a formal per-round privacy guarantee, and Paillier partial homomorphic encryption for secure aggregation — so no institution's raw data or unencrypted model update ever leaves its own boundary.</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makes this "federated learning" specifically, and not just "distributed training"?</w:t>
            </w:r>
          </w:p>
          <w:p>
            <w:pPr>
              <w:spacing w:before="80" w:after="40"/>
            </w:pPr>
            <w:r>
              <w:rPr>
                <w:color w:val="333333"/>
                <w:sz w:val="21"/>
              </w:rPr>
              <w:t>Distributed training (e.g. multi-GPU data-parallel training) assumes the orchestrator can see and shuffle the data across workers freely — the data is centrally owned, just physically spread out for speed. Federated learning assumes the opposite: each participant's data is privately owned, non-IID (school_gamma is 57% at-risk, school_beta is 49%), and must never leave that participant's boundary.</w:t>
            </w:r>
          </w:p>
          <w:p>
            <w:pPr>
              <w:spacing w:before="120" w:after="40"/>
            </w:pPr>
            <w:r>
              <w:rPr>
                <w:color w:val="333333"/>
                <w:sz w:val="21"/>
              </w:rPr>
              <w:t>We're specifically doing cross-silo FL — a small number (3-5) of reliable, always-available institutional participants — as opposed to cross-device FL (Google's original use case: millions of unreliable mobile phones). Cross-silo FL is why we can afford synchronous rounds and don't need client-selection sampling strategies designed for device churn.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What's the underlying systems constraint that makes FL the right architecture here, not just a stylistic choice?</w:t>
            </w:r>
          </w:p>
          <w:p>
            <w:pPr>
              <w:spacing w:before="80" w:after="40"/>
            </w:pPr>
            <w:r>
              <w:rPr>
                <w:color w:val="333333"/>
                <w:sz w:val="21"/>
              </w:rPr>
              <w:t>Data sovereignty, enforced legally: the Ghana Data Protection Act 2012 (Act 843) prohibits transfer of personal data — including academic records — between institutions without explicit consent and adequate security measures. That means centralised training is not just undesirable but legally infeasible. FL is the systems-level solution because it achieves the same ML objective — one globally-optimised shared model — under a hard data-locality constraint the centralised approach cannot satisfy.</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How does this actually improve the education system — concretely, not just "it helps"?</w:t>
            </w:r>
          </w:p>
          <w:p>
            <w:pPr>
              <w:spacing w:before="80" w:after="40"/>
            </w:pPr>
            <w:r>
              <w:rPr>
                <w:color w:val="333333"/>
                <w:sz w:val="21"/>
              </w:rPr>
              <w:t>Three concrete mechanisms: (1) Early-warning capability without new data infrastructure — district education offices get a shared predictive signal across their schools without GES needing to build or fund a centralised student-records database. (2) Legal compliance is structural, not procedural — privacy isn't a policy added after the fact, it's enforced by the architecture itself (DP-SGD's formal (ε,δ) guarantee, Paillier's cryptographic guarantee).</w:t>
            </w:r>
          </w:p>
          <w:p>
            <w:pPr>
              <w:spacing w:before="120" w:after="40"/>
            </w:pPr>
            <w:r>
              <w:rPr>
                <w:color w:val="333333"/>
                <w:sz w:val="21"/>
              </w:rPr>
              <w:t>(3) The architecture generalises beyond education — the same FL + DP-SGD + partial-homomorphic-secure-aggregation stack applies to any regulated, multi-institutional setting where data can't be centralised: hospital consortia training diagnostic models, banks doing joint fraud detection, inter-agency government analytics. This maps to SDG 4 (Quality Education, Target 4.1) and SDG 16 (Target 16.10) directly.</w:t>
            </w:r>
          </w:p>
        </w:tc>
      </w:tr>
    </w:tbl>
    <w:p>
      <w:pPr>
        <w:spacing w:after="40"/>
      </w:pPr>
    </w:p>
    <w:p>
      <w:r>
        <w:br w:type="page"/>
      </w:r>
    </w:p>
    <w:p>
      <w:pPr>
        <w:pStyle w:val="Heading1"/>
        <w:spacing w:before="120"/>
      </w:pPr>
      <w:r>
        <w:rPr>
          <w:color w:val="0F3460"/>
          <w:sz w:val="34"/>
        </w:rPr>
        <w:t>2.  The Dataset (OULAD)</w:t>
      </w:r>
    </w:p>
    <w:p>
      <w:pPr>
        <w:spacing w:after="200"/>
      </w:pPr>
      <w:r>
        <w:rPr>
          <w:i/>
          <w:color w:val="6B7280"/>
          <w:sz w:val="20"/>
        </w:rPr>
        <w:t>Real data, not synthetic — one of the strongest parts of the project to lean on.</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F8F9FF"/>
          </w:tcPr>
          <w:p>
            <w:r>
              <w:rPr>
                <w:b/>
                <w:color w:val="6B7280"/>
                <w:sz w:val="16"/>
              </w:rPr>
              <w:t>TOTAL RECORDS</w:t>
            </w:r>
          </w:p>
          <w:p>
            <w:r>
              <w:rPr>
                <w:b/>
                <w:color w:val="0F3460"/>
                <w:sz w:val="26"/>
              </w:rPr>
              <w:t>32,593</w:t>
            </w:r>
          </w:p>
        </w:tc>
        <w:tc>
          <w:tcPr>
            <w:tcW w:type="dxa" w:w="3249"/>
            <w:shd w:val="clear" w:color="auto" w:fill="F8F9FF"/>
          </w:tcPr>
          <w:p>
            <w:r>
              <w:rPr>
                <w:b/>
                <w:color w:val="6B7280"/>
                <w:sz w:val="16"/>
              </w:rPr>
              <w:t>REAL QUARTERS</w:t>
            </w:r>
          </w:p>
          <w:p>
            <w:r>
              <w:rPr>
                <w:b/>
                <w:color w:val="0F3460"/>
                <w:sz w:val="26"/>
              </w:rPr>
              <w:t>4</w:t>
            </w:r>
          </w:p>
        </w:tc>
        <w:tc>
          <w:tcPr>
            <w:tcW w:type="dxa" w:w="3249"/>
            <w:shd w:val="clear" w:color="auto" w:fill="F8F9FF"/>
          </w:tcPr>
          <w:p>
            <w:r>
              <w:rPr>
                <w:b/>
                <w:color w:val="6B7280"/>
                <w:sz w:val="16"/>
              </w:rPr>
              <w:t>FEATURES ENGINEERED</w:t>
            </w:r>
          </w:p>
          <w:p>
            <w:r>
              <w:rPr>
                <w:b/>
                <w:color w:val="0F3460"/>
                <w:sz w:val="26"/>
              </w:rPr>
              <w:t>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OULAD and not real Ghanaian student data?</w:t>
            </w:r>
          </w:p>
          <w:p>
            <w:pPr>
              <w:spacing w:before="80" w:after="40"/>
            </w:pPr>
            <w:r>
              <w:rPr>
                <w:color w:val="333333"/>
                <w:sz w:val="21"/>
              </w:rPr>
              <w:t>OULAD is the same substitution strategy used by the FL-education papers we cite — Salehi et al. used it too. It's public, real, and anonymised, and large enough (32,593 records) to simulate realistic non-IID school variation, without the ethical and access barriers of collecting real Ghanaian student records for a course project. We partition it by real registration quarter (2013B/2013J/2014B/2014J) to simulate distinct school intakes, rather than generating synthetic data from scratch.</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OULAD doesn't have "attendance" or "course difficulty" fields — how did you get those?</w:t>
            </w:r>
          </w:p>
          <w:p>
            <w:pPr>
              <w:spacing w:before="80" w:after="40"/>
            </w:pPr>
            <w:r>
              <w:rPr>
                <w:color w:val="333333"/>
                <w:sz w:val="21"/>
              </w:rPr>
              <w:t>We engineered them as documented proxies from the raw VLE (virtual learning environment) click logs and assessment records — for example, attendance_rate is the fraction of days a student had any VLE activity, and course_difficulty is a per-module pass-rate ranking. This is disclosed explicitly in our methodology, not hidden — it's a standard technique when adapting a dataset built for one purpose to a different modelling task.</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do quarters map to only 4 school nodes when your proposal says 3–5?</w:t>
            </w:r>
          </w:p>
          <w:p>
            <w:pPr>
              <w:spacing w:before="80" w:after="40"/>
            </w:pPr>
            <w:r>
              <w:rPr>
                <w:color w:val="333333"/>
                <w:sz w:val="21"/>
              </w:rPr>
              <w:t>OULAD genuinely only has 4 real registration quarters. For the 5-node configuration, we split the largest quarter (2014J, 11,260 students) by course-module group into two further nodes, which we document explicitly as a necessary adaptation — we didn't quietly force a 5th node that doesn't reflect real data structure.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What's the at_risk label based on?</w:t>
            </w:r>
          </w:p>
          <w:p>
            <w:pPr>
              <w:spacing w:before="80" w:after="40"/>
            </w:pPr>
            <w:r>
              <w:rPr>
                <w:color w:val="333333"/>
                <w:sz w:val="21"/>
              </w:rPr>
              <w:t>at_risk = 1 if the student's real OULAD final result was Withdrawn or Fail, 0 otherwise — a standard convention already used in the FL-education literature we cite. Nothing invented; it comes straight from the real outcome field.</w:t>
            </w:r>
          </w:p>
        </w:tc>
      </w:tr>
    </w:tbl>
    <w:p>
      <w:pPr>
        <w:spacing w:after="40"/>
      </w:pPr>
    </w:p>
    <w:p>
      <w:r>
        <w:br w:type="page"/>
      </w:r>
    </w:p>
    <w:p>
      <w:pPr>
        <w:pStyle w:val="Heading1"/>
        <w:spacing w:before="120"/>
      </w:pPr>
      <w:r>
        <w:rPr>
          <w:color w:val="0F3460"/>
          <w:sz w:val="34"/>
        </w:rPr>
        <w:t>3.  Model Training Pipeline</w:t>
      </w:r>
    </w:p>
    <w:p>
      <w:pPr>
        <w:spacing w:after="200"/>
      </w:pPr>
      <w:r>
        <w:rPr>
          <w:i/>
          <w:color w:val="6B7280"/>
          <w:sz w:val="20"/>
        </w:rPr>
        <w:t>The full, precise answer to "what did you use to train the model" — walk through this layer by layer.</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did you use to train the model — full technical answer?</w:t>
            </w:r>
          </w:p>
          <w:p>
            <w:pPr>
              <w:spacing w:before="80" w:after="40"/>
            </w:pPr>
            <w:r>
              <w:rPr>
                <w:color w:val="333333"/>
                <w:sz w:val="21"/>
              </w:rPr>
              <w:t>Architecture: a fully-connected feedforward network (StudentMLP in PyTorch) — Linear(8-&gt;64) -&gt; ReLU -&gt; Linear(64-&gt;32) -&gt; ReLU -&gt; Linear(32-&gt;1), emitting a raw logit. 2,689 trainable parameters total.</w:t>
            </w:r>
          </w:p>
          <w:p>
            <w:pPr>
              <w:spacing w:before="120" w:after="40"/>
            </w:pPr>
            <w:r>
              <w:rPr>
                <w:color w:val="333333"/>
                <w:sz w:val="21"/>
              </w:rPr>
              <w:t>Loss: BCEWithLogitsLoss — combines sigmoid activation and binary cross-entropy into one numerically stable log-sum-exp computation, avoiding the float overflow/underflow a separate sigmoid-then-BCELoss pipeline risks. A pos_weight term (derived from each partition's class-imbalance ratio, capped at 10x) penalises missed at-risk predictions more heavily than false positives.</w:t>
            </w:r>
          </w:p>
          <w:p>
            <w:pPr>
              <w:spacing w:before="120" w:after="40"/>
            </w:pPr>
            <w:r>
              <w:rPr>
                <w:color w:val="333333"/>
                <w:sz w:val="21"/>
              </w:rPr>
              <w:t>Optimiser: Adam, learning rate 0.01, default beta coefficients — re-instantiated fresh each round per client (no persisted optimiser state across rounds, the standard FedAvg assumption).</w:t>
            </w:r>
          </w:p>
          <w:p>
            <w:pPr>
              <w:spacing w:before="120" w:after="40"/>
            </w:pPr>
            <w:r>
              <w:rPr>
                <w:color w:val="333333"/>
                <w:sz w:val="21"/>
              </w:rPr>
              <w:t>Local training loop: 3 local epochs per communication round, mini-batch SGD via Adam, batch size 32, executed entirely client-side on that school's own data only.</w:t>
            </w:r>
          </w:p>
          <w:p>
            <w:pPr>
              <w:spacing w:before="120" w:after="40"/>
            </w:pPr>
            <w:r>
              <w:rPr>
                <w:color w:val="333333"/>
                <w:sz w:val="21"/>
              </w:rPr>
              <w:t>Aggregation: FedAvg. Each client computes a parameter delta dw_i = w_i(local) - w(global), the server computes the weighted mean dw = sum((n_i/N) * dw_i) where n_i is client i's sample count, and updates w(global) &lt;- w(global) + dw.</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Walk through exactly how DP-SGD modifies that training loop, mechanically.</w:t>
            </w:r>
          </w:p>
          <w:p>
            <w:pPr>
              <w:spacing w:before="80" w:after="40"/>
            </w:pPr>
            <w:r>
              <w:rPr>
                <w:color w:val="333333"/>
                <w:sz w:val="21"/>
              </w:rPr>
              <w:t>Opacus wraps the model in a GradSampleModule, which hooks the backward pass to materialise per-sample gradients (via a vectorised Jacobian technique) instead of the batch-averaged gradient PyTorch computes by default. Each per-sample gradient is clipped to L2 norm &lt;= C (C=1.0), Gaussian noise sampled from N(0, sigma^2*C^2*I) is added to the clipped sum (sigma=1.1), and the noisy sum is averaged before the optimiser step.</w:t>
            </w:r>
          </w:p>
          <w:p>
            <w:pPr>
              <w:spacing w:before="120" w:after="40"/>
            </w:pPr>
            <w:r>
              <w:rPr>
                <w:color w:val="333333"/>
                <w:sz w:val="21"/>
              </w:rPr>
              <w:t>Privacy loss is tracked with a Renyi Differential Privacy (RDP) accountant, which composes the per-step privacy cost across all steps in a round and converts to a reportable (epsilon, delta)-DP guarantee (delta fixed at 1e-5, epsilon computed empirically via get_privacy_spent()).</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Where does encryption fit relative to training — before, during, or after?</w:t>
            </w:r>
          </w:p>
          <w:p>
            <w:pPr>
              <w:spacing w:before="80" w:after="40"/>
            </w:pPr>
            <w:r>
              <w:rPr>
                <w:color w:val="333333"/>
                <w:sz w:val="21"/>
              </w:rPr>
              <w:t>Strictly after. Training (including DP-SGD's clipping and noise injection) happens entirely in plaintext, locally, inside PyTorch. Only once the final parameter delta for that round is computed does it get Paillier-encrypted, element-wise, immediately before serialisation and network transmission.</w:t>
            </w:r>
          </w:p>
        </w:tc>
      </w:tr>
    </w:tbl>
    <w:p>
      <w:pPr>
        <w:spacing w:after="40"/>
      </w:pPr>
    </w:p>
    <w:p>
      <w:r>
        <w:br w:type="page"/>
      </w:r>
    </w:p>
    <w:p>
      <w:pPr>
        <w:pStyle w:val="Heading1"/>
        <w:spacing w:before="120"/>
      </w:pPr>
      <w:r>
        <w:rPr>
          <w:color w:val="0F3460"/>
          <w:sz w:val="34"/>
        </w:rPr>
        <w:t>4.  Technology Stack — Frontend &amp; Backend</w:t>
      </w:r>
    </w:p>
    <w:p>
      <w:pPr>
        <w:spacing w:after="200"/>
      </w:pPr>
      <w:r>
        <w:rPr>
          <w:i/>
          <w:color w:val="6B7280"/>
          <w:sz w:val="20"/>
        </w:rPr>
        <w:t>Name the library, know why it was chosen — that combination is what reads as technical fluency.</w:t>
      </w:r>
    </w:p>
    <w:p>
      <w:pPr>
        <w:spacing w:before="120" w:after="80"/>
      </w:pPr>
      <w:r>
        <w:rPr>
          <w:b/>
          <w:color w:val="4F46E5"/>
          <w:sz w:val="20"/>
        </w:rPr>
        <w:t>BACKEND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Component</w:t>
            </w:r>
          </w:p>
        </w:tc>
        <w:tc>
          <w:tcPr>
            <w:tcW w:type="dxa" w:w="4873"/>
          </w:tcPr>
          <w:p>
            <w:r>
              <w:rPr>
                <w:b/>
                <w:sz w:val="19"/>
              </w:rPr>
              <w:t>Role &amp; why it was chosen</w:t>
            </w:r>
          </w:p>
        </w:tc>
      </w:tr>
      <w:tr>
        <w:tc>
          <w:tcPr>
            <w:tcW w:type="dxa" w:w="4873"/>
          </w:tcPr>
          <w:p>
            <w:r>
              <w:rPr>
                <w:b/>
                <w:color w:val="0F3460"/>
                <w:sz w:val="19"/>
              </w:rPr>
              <w:t>Python 3.11.9</w:t>
            </w:r>
          </w:p>
        </w:tc>
        <w:tc>
          <w:tcPr>
            <w:tcW w:type="dxa" w:w="4873"/>
          </w:tcPr>
          <w:p>
            <w:r>
              <w:rPr>
                <w:sz w:val="19"/>
              </w:rPr>
              <w:t>Pinned specifically for Opacus 1.4.0 compatibility</w:t>
            </w:r>
          </w:p>
        </w:tc>
      </w:tr>
      <w:tr>
        <w:tc>
          <w:tcPr>
            <w:tcW w:type="dxa" w:w="4873"/>
          </w:tcPr>
          <w:p>
            <w:r>
              <w:rPr>
                <w:b/>
                <w:color w:val="0F3460"/>
                <w:sz w:val="19"/>
              </w:rPr>
              <w:t>Flower 1.8.0</w:t>
            </w:r>
          </w:p>
        </w:tc>
        <w:tc>
          <w:tcPr>
            <w:tcW w:type="dxa" w:w="4873"/>
          </w:tcPr>
          <w:p>
            <w:r>
              <w:rPr>
                <w:sz w:val="19"/>
              </w:rPr>
              <w:t>gRPC-based FL orchestration framework — provides ClientManager, the Strategy abstraction (overridden as PaillierFedAvg), and the round-scheduling state machine</w:t>
            </w:r>
          </w:p>
        </w:tc>
      </w:tr>
      <w:tr>
        <w:tc>
          <w:tcPr>
            <w:tcW w:type="dxa" w:w="4873"/>
          </w:tcPr>
          <w:p>
            <w:r>
              <w:rPr>
                <w:b/>
                <w:color w:val="0F3460"/>
                <w:sz w:val="19"/>
              </w:rPr>
              <w:t>PyTorch 2.3.0</w:t>
            </w:r>
          </w:p>
        </w:tc>
        <w:tc>
          <w:tcPr>
            <w:tcW w:type="dxa" w:w="4873"/>
          </w:tcPr>
          <w:p>
            <w:r>
              <w:rPr>
                <w:sz w:val="19"/>
              </w:rPr>
              <w:t>Tensor/autograd engine for the MLP; integrates natively with Opacus</w:t>
            </w:r>
          </w:p>
        </w:tc>
      </w:tr>
      <w:tr>
        <w:tc>
          <w:tcPr>
            <w:tcW w:type="dxa" w:w="4873"/>
          </w:tcPr>
          <w:p>
            <w:r>
              <w:rPr>
                <w:b/>
                <w:color w:val="0F3460"/>
                <w:sz w:val="19"/>
              </w:rPr>
              <w:t>Opacus 1.4.0</w:t>
            </w:r>
          </w:p>
        </w:tc>
        <w:tc>
          <w:tcPr>
            <w:tcW w:type="dxa" w:w="4873"/>
          </w:tcPr>
          <w:p>
            <w:r>
              <w:rPr>
                <w:sz w:val="19"/>
              </w:rPr>
              <w:t>DP-SGD instrumentation — GradSampleModule + RDP accountant</w:t>
            </w:r>
          </w:p>
        </w:tc>
      </w:tr>
      <w:tr>
        <w:tc>
          <w:tcPr>
            <w:tcW w:type="dxa" w:w="4873"/>
          </w:tcPr>
          <w:p>
            <w:r>
              <w:rPr>
                <w:b/>
                <w:color w:val="0F3460"/>
                <w:sz w:val="19"/>
              </w:rPr>
              <w:t>python-paillier (phe) 1.5.0</w:t>
            </w:r>
          </w:p>
        </w:tc>
        <w:tc>
          <w:tcPr>
            <w:tcW w:type="dxa" w:w="4873"/>
          </w:tcPr>
          <w:p>
            <w:r>
              <w:rPr>
                <w:sz w:val="19"/>
              </w:rPr>
              <w:t>Paillier partial homomorphic cryptosystem implementation (2048-bit modulus)</w:t>
            </w:r>
          </w:p>
        </w:tc>
      </w:tr>
      <w:tr>
        <w:tc>
          <w:tcPr>
            <w:tcW w:type="dxa" w:w="4873"/>
          </w:tcPr>
          <w:p>
            <w:r>
              <w:rPr>
                <w:b/>
                <w:color w:val="0F3460"/>
                <w:sz w:val="19"/>
              </w:rPr>
              <w:t>FastAPI 0.111.0</w:t>
            </w:r>
          </w:p>
        </w:tc>
        <w:tc>
          <w:tcPr>
            <w:tcW w:type="dxa" w:w="4873"/>
          </w:tcPr>
          <w:p>
            <w:r>
              <w:rPr>
                <w:sz w:val="19"/>
              </w:rPr>
              <w:t>ASGI-based async REST API — serves /api/*, runs the FL simulation as a background task</w:t>
            </w:r>
          </w:p>
        </w:tc>
      </w:tr>
      <w:tr>
        <w:tc>
          <w:tcPr>
            <w:tcW w:type="dxa" w:w="4873"/>
          </w:tcPr>
          <w:p>
            <w:r>
              <w:rPr>
                <w:b/>
                <w:color w:val="0F3460"/>
                <w:sz w:val="19"/>
              </w:rPr>
              <w:t>SQLite3</w:t>
            </w:r>
          </w:p>
        </w:tc>
        <w:tc>
          <w:tcPr>
            <w:tcW w:type="dxa" w:w="4873"/>
          </w:tcPr>
          <w:p>
            <w:r>
              <w:rPr>
                <w:sz w:val="19"/>
              </w:rPr>
              <w:t>Embedded, file-based relational store — one file per school partition, so data isolation is enforced at the filesystem level</w:t>
            </w:r>
          </w:p>
        </w:tc>
      </w:tr>
      <w:tr>
        <w:tc>
          <w:tcPr>
            <w:tcW w:type="dxa" w:w="4873"/>
          </w:tcPr>
          <w:p>
            <w:r>
              <w:rPr>
                <w:b/>
                <w:color w:val="0F3460"/>
                <w:sz w:val="19"/>
              </w:rPr>
              <w:t>scikit-learn 1.5.0</w:t>
            </w:r>
          </w:p>
        </w:tc>
        <w:tc>
          <w:tcPr>
            <w:tcW w:type="dxa" w:w="4873"/>
          </w:tcPr>
          <w:p>
            <w:r>
              <w:rPr>
                <w:sz w:val="19"/>
              </w:rPr>
              <w:t>Evaluation metrics — F1, balanced accuracy, AUC-ROC, ROC-curve-derived Youden's J</w:t>
            </w:r>
          </w:p>
        </w:tc>
      </w:tr>
      <w:tr>
        <w:tc>
          <w:tcPr>
            <w:tcW w:type="dxa" w:w="4873"/>
          </w:tcPr>
          <w:p>
            <w:r>
              <w:rPr>
                <w:b/>
                <w:color w:val="0F3460"/>
                <w:sz w:val="19"/>
              </w:rPr>
              <w:t>threading (stdlib)</w:t>
            </w:r>
          </w:p>
        </w:tc>
        <w:tc>
          <w:tcPr>
            <w:tcW w:type="dxa" w:w="4873"/>
          </w:tcPr>
          <w:p>
            <w:r>
              <w:rPr>
                <w:sz w:val="19"/>
              </w:rPr>
              <w:t>The Flower gRPC server and all school clients run as concurrent threads inside one Python process for the simulation</w:t>
            </w:r>
          </w:p>
        </w:tc>
      </w:tr>
    </w:tbl>
    <w:p>
      <w:pPr>
        <w:spacing w:after="40"/>
      </w:pPr>
    </w:p>
    <w:p>
      <w:pPr>
        <w:spacing w:before="120" w:after="80"/>
      </w:pPr>
      <w:r>
        <w:rPr>
          <w:b/>
          <w:color w:val="4F46E5"/>
          <w:sz w:val="20"/>
        </w:rPr>
        <w:t>FRONTEND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Component</w:t>
            </w:r>
          </w:p>
        </w:tc>
        <w:tc>
          <w:tcPr>
            <w:tcW w:type="dxa" w:w="4873"/>
          </w:tcPr>
          <w:p>
            <w:r>
              <w:rPr>
                <w:b/>
                <w:sz w:val="19"/>
              </w:rPr>
              <w:t>Role &amp; why it was chosen</w:t>
            </w:r>
          </w:p>
        </w:tc>
      </w:tr>
      <w:tr>
        <w:tc>
          <w:tcPr>
            <w:tcW w:type="dxa" w:w="4873"/>
          </w:tcPr>
          <w:p>
            <w:r>
              <w:rPr>
                <w:b/>
                <w:color w:val="0F3460"/>
                <w:sz w:val="19"/>
              </w:rPr>
              <w:t>React 18.3.1</w:t>
            </w:r>
          </w:p>
        </w:tc>
        <w:tc>
          <w:tcPr>
            <w:tcW w:type="dxa" w:w="4873"/>
          </w:tcPr>
          <w:p>
            <w:r>
              <w:rPr>
                <w:sz w:val="19"/>
              </w:rPr>
              <w:t>Component-based SPA — functional components with hooks; no external state library needed</w:t>
            </w:r>
          </w:p>
        </w:tc>
      </w:tr>
      <w:tr>
        <w:tc>
          <w:tcPr>
            <w:tcW w:type="dxa" w:w="4873"/>
          </w:tcPr>
          <w:p>
            <w:r>
              <w:rPr>
                <w:b/>
                <w:color w:val="0F3460"/>
                <w:sz w:val="19"/>
              </w:rPr>
              <w:t>Vite 5</w:t>
            </w:r>
          </w:p>
        </w:tc>
        <w:tc>
          <w:tcPr>
            <w:tcW w:type="dxa" w:w="4873"/>
          </w:tcPr>
          <w:p>
            <w:r>
              <w:rPr>
                <w:sz w:val="19"/>
              </w:rPr>
              <w:t>ESBuild-based dev server/bundler — near-instant hot-module-reload</w:t>
            </w:r>
          </w:p>
        </w:tc>
      </w:tr>
      <w:tr>
        <w:tc>
          <w:tcPr>
            <w:tcW w:type="dxa" w:w="4873"/>
          </w:tcPr>
          <w:p>
            <w:r>
              <w:rPr>
                <w:b/>
                <w:color w:val="0F3460"/>
                <w:sz w:val="19"/>
              </w:rPr>
              <w:t>Chart.js 4 (react-chartjs-2)</w:t>
            </w:r>
          </w:p>
        </w:tc>
        <w:tc>
          <w:tcPr>
            <w:tcW w:type="dxa" w:w="4873"/>
          </w:tcPr>
          <w:p>
            <w:r>
              <w:rPr>
                <w:sz w:val="19"/>
              </w:rPr>
              <w:t>Canvas-based (not SVG) charting — chosen for rendering performance on charts that redraw every 3 seconds during a live run</w:t>
            </w:r>
          </w:p>
        </w:tc>
      </w:tr>
      <w:tr>
        <w:tc>
          <w:tcPr>
            <w:tcW w:type="dxa" w:w="4873"/>
          </w:tcPr>
          <w:p>
            <w:r>
              <w:rPr>
                <w:b/>
                <w:color w:val="0F3460"/>
                <w:sz w:val="19"/>
              </w:rPr>
              <w:t>CSS Modules</w:t>
            </w:r>
          </w:p>
        </w:tc>
        <w:tc>
          <w:tcPr>
            <w:tcW w:type="dxa" w:w="4873"/>
          </w:tcPr>
          <w:p>
            <w:r>
              <w:rPr>
                <w:sz w:val="19"/>
              </w:rPr>
              <w:t>Locally-scoped component styling, avoids global CSS namespace collisions</w:t>
            </w:r>
          </w:p>
        </w:tc>
      </w:tr>
    </w:tbl>
    <w:p>
      <w:pPr>
        <w:spacing w:after="40"/>
      </w:pPr>
    </w:p>
    <w:tbl>
      <w:tblPr>
        <w:tblW w:type="auto" w:w="0"/>
        <w:tblLook w:firstColumn="1" w:firstRow="1" w:lastColumn="0" w:lastRow="0" w:noHBand="0" w:noVBand="1" w:val="04A0"/>
      </w:tblPr>
      <w:tblGrid>
        <w:gridCol w:w="9746"/>
      </w:tblGrid>
      <w:tr>
        <w:tc>
          <w:tcPr>
            <w:tcW w:type="dxa" w:w="9746"/>
            <w:shd w:val="clear" w:color="auto" w:fill="EFF6FF"/>
            <w:tcBorders>
              <w:left w:val="single" w:sz="28" w:color="3B82F6"/>
            </w:tcBorders>
          </w:tcPr>
          <w:p>
            <w:r>
              <w:rPr>
                <w:color w:val="333333"/>
                <w:sz w:val="20"/>
              </w:rPr>
              <w:t>Two distinct network protocols run concurrently: Flower's FL protocol runs over gRPC (binary, HTTP/2-based) on port 8088; the dashboard's API runs over REST/JSON on port 8000. The dashboard polls (fetch() every 3000ms) rather than using WebSockets — a deliberate simplicity/robustness tradeoff, reasonable given FL updates arrive on a round-based cadence (tens of seconds), not sub-second.</w:t>
            </w:r>
          </w:p>
        </w:tc>
      </w:tr>
    </w:tbl>
    <w:p>
      <w:pPr>
        <w:spacing w:after="40"/>
      </w:pPr>
    </w:p>
    <w:p>
      <w:r>
        <w:br w:type="page"/>
      </w:r>
    </w:p>
    <w:p>
      <w:pPr>
        <w:pStyle w:val="Heading1"/>
        <w:spacing w:before="120"/>
      </w:pPr>
      <w:r>
        <w:rPr>
          <w:color w:val="0F3460"/>
          <w:sz w:val="34"/>
        </w:rPr>
        <w:t>5.  Privacy Design — DP-SGD + Paillier</w:t>
      </w:r>
    </w:p>
    <w:p>
      <w:pPr>
        <w:spacing w:after="200"/>
      </w:pPr>
      <w:r>
        <w:rPr>
          <w:i/>
          <w:color w:val="6B7280"/>
          <w:sz w:val="20"/>
        </w:rPr>
        <w:t>Two layers, protecting against two different threats — the distinction lecturers probe hardest.</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do you need both DP-SGD and Paillier? Isn't one enough?</w:t>
            </w:r>
          </w:p>
          <w:p>
            <w:pPr>
              <w:spacing w:before="80" w:after="40"/>
            </w:pPr>
            <w:r>
              <w:rPr>
                <w:color w:val="333333"/>
                <w:sz w:val="21"/>
              </w:rPr>
              <w:t>They protect against different threats. DP-SGD protects against someone analysing the content of a model update to infer facts about individual students, even if they can see the update. Paillier protects against the server itself (or anyone intercepting network traffic) seeing the update at all.</w:t>
            </w:r>
          </w:p>
          <w:p>
            <w:pPr>
              <w:spacing w:before="120" w:after="40"/>
            </w:pPr>
            <w:r>
              <w:rPr>
                <w:color w:val="333333"/>
                <w:sz w:val="21"/>
              </w:rPr>
              <w:t>Put another way: DP-SGD answers "is this update statistically safe to reveal?" Paillier answers "who is allowed to look at it at all?" Genuinely separate questions — you could have one without the other, but then you're only covered against one kind of attacker.</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If DP-SGD already protects individual students, why bother encrypting the update with Paillier too?</w:t>
            </w:r>
          </w:p>
          <w:p>
            <w:pPr>
              <w:spacing w:before="80" w:after="40"/>
            </w:pPr>
            <w:r>
              <w:rPr>
                <w:color w:val="333333"/>
                <w:sz w:val="21"/>
              </w:rPr>
              <w:t>DP noise makes the update statistically safe to reveal — it's still the actual number being transmitted. Without Paillier, the server (or anyone sniffing the network) sees each school's real, DP-noised update in the clear. With Paillier, they only ever see ciphertext.</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does epsilon (ε) actually mean, in plain terms?</w:t>
            </w:r>
          </w:p>
          <w:p>
            <w:pPr>
              <w:spacing w:before="80" w:after="40"/>
            </w:pPr>
            <w:r>
              <w:rPr>
                <w:color w:val="333333"/>
                <w:sz w:val="21"/>
              </w:rPr>
              <w:t>It bounds how much any single student's presence or absence could change the model's output. Smaller ε means a stronger guarantee. We target ε ≤ 3.0 per round, and our privacy-accuracy sweep shows F1 stays strong (roughly 0.91–0.94) even down to ε≈0.07 — the strongest privacy setting we tested — so the accuracy cost of strong privacy here is genuinely small.</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Doesn't Paillier decryption on the server defeat the purpose — the server still learns the combined model?</w:t>
            </w:r>
          </w:p>
          <w:p>
            <w:pPr>
              <w:spacing w:before="80" w:after="40"/>
            </w:pPr>
            <w:r>
              <w:rPr>
                <w:color w:val="333333"/>
                <w:sz w:val="21"/>
              </w:rPr>
              <w:t>Yes, by design — the server is meant to learn the aggregated global model; that's the whole point of federated learning. What it must never learn is any individual school's raw update. Paillier's homomorphic addition means the server only ever decrypts the already-combined sum, never a single school's contribution in isolation.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stops the server from analysing the encrypted update anyway?</w:t>
            </w:r>
          </w:p>
          <w:p>
            <w:pPr>
              <w:spacing w:before="80" w:after="40"/>
            </w:pPr>
            <w:r>
              <w:rPr>
                <w:color w:val="333333"/>
                <w:sz w:val="21"/>
              </w:rPr>
              <w:t>Semantic security — Paillier ciphertexts don't leak anything about the plaintext even to someone with unlimited computation on the ciphertext alone. The server can only produce meaningful output by decrypting, and by construction it only ever decrypts the already-aggregated sum across all schools that round.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actually happens on the wire when Paillier is on — describe it precisely.</w:t>
            </w:r>
          </w:p>
          <w:p>
            <w:pPr>
              <w:spacing w:before="80" w:after="40"/>
            </w:pPr>
            <w:r>
              <w:rPr>
                <w:color w:val="333333"/>
                <w:sz w:val="21"/>
              </w:rPr>
              <w:t>Each of the 2,689 model parameters gets encrypted individually into its own Paillier ciphertext, serialized to a big integer string, sent as JSON. The server multiplies each school's ciphertext-array by that school's FedAvg weight — Paillier supports this as scalar multiplication on ciphertext — then adds all schools' weighted ciphertext-arrays together element-wise, still encrypted. Only that single combined result gets decrypted.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FFBEB"/>
            <w:tcBorders>
              <w:left w:val="single" w:sz="28" w:color="F59E0B"/>
            </w:tcBorders>
          </w:tcPr>
          <w:p>
            <w:pPr>
              <w:spacing w:after="80"/>
            </w:pPr>
            <w:r>
              <w:rPr>
                <w:b/>
                <w:color w:val="92400E"/>
                <w:sz w:val="23"/>
              </w:rPr>
              <w:t>[Honest answer] Couldn't a malicious school lie about how many students it has, to game the FedAvg weighting?</w:t>
            </w:r>
          </w:p>
          <w:p>
            <w:pPr>
              <w:spacing w:before="80" w:after="40"/>
            </w:pPr>
            <w:r>
              <w:rPr>
                <w:color w:val="333333"/>
                <w:sz w:val="21"/>
              </w:rPr>
              <w:t>Honestly — yes, and we don't defend against that. FedAvg trusts each client's reported sample count. It's a known open problem in federated learning generally (robust aggregation against malicious clients is its own research area). Our threat model here is privacy-preserving collaboration between honest-but-curious schools, not defense against an actively malicious participant.</w:t>
            </w:r>
          </w:p>
        </w:tc>
      </w:tr>
    </w:tbl>
    <w:p>
      <w:pPr>
        <w:spacing w:after="40"/>
      </w:pPr>
    </w:p>
    <w:p>
      <w:r>
        <w:br w:type="page"/>
      </w:r>
    </w:p>
    <w:p>
      <w:pPr>
        <w:pStyle w:val="Heading1"/>
        <w:spacing w:before="120"/>
      </w:pPr>
      <w:r>
        <w:rPr>
          <w:color w:val="0F3460"/>
          <w:sz w:val="34"/>
        </w:rPr>
        <w:t>6.  Results &amp; Statistical Proof</w:t>
      </w:r>
    </w:p>
    <w:p>
      <w:pPr>
        <w:spacing w:after="200"/>
      </w:pPr>
      <w:r>
        <w:rPr>
          <w:i/>
          <w:color w:val="6B7280"/>
          <w:sz w:val="20"/>
        </w:rPr>
        <w:t>This is the section with real evidence behind it — use the actual numbers, don't round them off.</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F8F9FF"/>
          </w:tcPr>
          <w:p>
            <w:r>
              <w:rPr>
                <w:b/>
                <w:color w:val="6B7280"/>
                <w:sz w:val="16"/>
              </w:rPr>
              <w:t>BASELINE F1</w:t>
            </w:r>
          </w:p>
          <w:p>
            <w:r>
              <w:rPr>
                <w:b/>
                <w:color w:val="0F3460"/>
                <w:sz w:val="26"/>
              </w:rPr>
              <w:t>0.9386</w:t>
            </w:r>
          </w:p>
        </w:tc>
        <w:tc>
          <w:tcPr>
            <w:tcW w:type="dxa" w:w="3249"/>
            <w:shd w:val="clear" w:color="auto" w:fill="F8F9FF"/>
          </w:tcPr>
          <w:p>
            <w:r>
              <w:rPr>
                <w:b/>
                <w:color w:val="6B7280"/>
                <w:sz w:val="16"/>
              </w:rPr>
              <w:t>PAIRED T-TEST P</w:t>
            </w:r>
          </w:p>
          <w:p>
            <w:r>
              <w:rPr>
                <w:b/>
                <w:color w:val="0F3460"/>
                <w:sz w:val="26"/>
              </w:rPr>
              <w:t>0.9156</w:t>
            </w:r>
          </w:p>
        </w:tc>
        <w:tc>
          <w:tcPr>
            <w:tcW w:type="dxa" w:w="3249"/>
            <w:shd w:val="clear" w:color="auto" w:fill="F8F9FF"/>
          </w:tcPr>
          <w:p>
            <w:r>
              <w:rPr>
                <w:b/>
                <w:color w:val="6B7280"/>
                <w:sz w:val="16"/>
              </w:rPr>
              <w:t>COHEN'S D</w:t>
            </w:r>
          </w:p>
          <w:p>
            <w:r>
              <w:rPr>
                <w:b/>
                <w:color w:val="0F3460"/>
                <w:sz w:val="26"/>
              </w:rPr>
              <w:t>-0.05</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Is a small percentage-point difference between federated and centralised F1 actually meaningful, or just noise?</w:t>
            </w:r>
          </w:p>
          <w:p>
            <w:pPr>
              <w:spacing w:before="80" w:after="40"/>
            </w:pPr>
            <w:r>
              <w:rPr>
                <w:color w:val="333333"/>
                <w:sz w:val="21"/>
              </w:rPr>
              <w:t>We ran 5 independent bootstrap resamples of the train/test split, training both a centralised and federated model on each. A paired t-test gave p = 0.9156 — nowhere near the 0.05 significance threshold — meaning we cannot say federated and centralised performance differ at all. Cohen's d was -0.05, a negligible effect size. The small differences you see round to round are resampling noise, not a real performance gap.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Your proposal says "5 independent random partitions" for the statistical test — but you only have 4 real quarters. How did you resolve that?</w:t>
            </w:r>
          </w:p>
          <w:p>
            <w:pPr>
              <w:spacing w:before="80" w:after="40"/>
            </w:pPr>
            <w:r>
              <w:rPr>
                <w:color w:val="333333"/>
                <w:sz w:val="21"/>
              </w:rPr>
              <w:t>We reframed it: instead of drawing 5 random school partitions (impossible with only 4 real quarters), we drew 5 independent random train/test splits within the same fixed real-quarter school assignment, and ran the full centralised-vs-federated comparison on each. That gives 5 genuinely independent paired observations for the significance test, while still using 100% real data throughout.</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did you disable DP and Paillier for that statistical test?</w:t>
            </w:r>
          </w:p>
          <w:p>
            <w:pPr>
              <w:spacing w:before="80" w:after="40"/>
            </w:pPr>
            <w:r>
              <w:rPr>
                <w:color w:val="333333"/>
                <w:sz w:val="21"/>
              </w:rPr>
              <w:t>That test validates Objective 1 specifically — federated accuracy parity with centralised training. Objective 2 (the encryption guarantee) is a separate, already-validated claim via the cryptographic audit log. Mixing DP noise into the parity test would conflate two different questions — "does FL work as well as centralised training" and "what does privacy cost you" — so we isolated them.</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FFBEB"/>
            <w:tcBorders>
              <w:left w:val="single" w:sz="28" w:color="F59E0B"/>
            </w:tcBorders>
          </w:tcPr>
          <w:p>
            <w:pPr>
              <w:spacing w:after="80"/>
            </w:pPr>
            <w:r>
              <w:rPr>
                <w:b/>
                <w:color w:val="92400E"/>
                <w:sz w:val="23"/>
              </w:rPr>
              <w:t>[Honest answer] Does the same F1 parity hold at 4 or 5 nodes, not just 3?</w:t>
            </w:r>
          </w:p>
          <w:p>
            <w:pPr>
              <w:spacing w:before="80" w:after="40"/>
            </w:pPr>
            <w:r>
              <w:rPr>
                <w:color w:val="333333"/>
                <w:sz w:val="21"/>
              </w:rPr>
              <w:t>We smoke-tested the full pipeline at 4 and 5 nodes and confirmed it runs correctly end-to-end with strong F1 (~0.93 in both cases), but the formal 5-seed statistical significance test was only run at 3 nodes. Extending it to 4/5-node configs would be a natural next step, not something we've formally claimed yet.</w:t>
            </w:r>
          </w:p>
        </w:tc>
      </w:tr>
    </w:tbl>
    <w:p>
      <w:pPr>
        <w:spacing w:after="40"/>
      </w:pPr>
    </w:p>
    <w:p>
      <w:r>
        <w:br w:type="page"/>
      </w:r>
    </w:p>
    <w:p>
      <w:pPr>
        <w:pStyle w:val="Heading1"/>
        <w:spacing w:before="120"/>
      </w:pPr>
      <w:r>
        <w:rPr>
          <w:color w:val="0F3460"/>
          <w:sz w:val="34"/>
        </w:rPr>
        <w:t>7.  Systems &amp; Architecture</w:t>
      </w:r>
    </w:p>
    <w:p>
      <w:pPr>
        <w:spacing w:after="200"/>
      </w:pPr>
      <w:r>
        <w:rPr>
          <w:i/>
          <w:color w:val="6B7280"/>
          <w:sz w:val="20"/>
        </w:rPr>
        <w:t>The infrastructure decisions — why Flower, why this model size, what happens when a school drops out.</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Flower specifically, not a custom solution?</w:t>
            </w:r>
          </w:p>
          <w:p>
            <w:pPr>
              <w:spacing w:before="80" w:after="40"/>
            </w:pPr>
            <w:r>
              <w:rPr>
                <w:color w:val="333333"/>
                <w:sz w:val="21"/>
              </w:rPr>
              <w:t>It handles the client/server communication protocol, round scheduling, and client sampling out of the box, and exposes a Strategy interface we could override to inject Paillier aggregation — PaillierFedAvg in server/strategy.py. Writing that networking layer from scratch would be infrastructure work orthogonal to the actual research contribution.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happens if a school goes offline mid-round?</w:t>
            </w:r>
          </w:p>
          <w:p>
            <w:pPr>
              <w:spacing w:before="80" w:after="40"/>
            </w:pPr>
            <w:r>
              <w:rPr>
                <w:color w:val="333333"/>
                <w:sz w:val="21"/>
              </w:rPr>
              <w:t>The server samples only the schools actually online for that round — client_manager tracks who's registered, and a school marked offline never gets asked to train. Its status shows "OFFLINE — queued" on the dashboard, and training continues with the remaining schools. For real deployment (not just the live demo toggle), a separate nightly cron sync daemon queues a school's update locally if it's genuinely disconnected, and retransmits it automatically the next time it's online.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is the MLP so small — only two hidden layers?</w:t>
            </w:r>
          </w:p>
          <w:p>
            <w:pPr>
              <w:spacing w:before="80" w:after="40"/>
            </w:pPr>
            <w:r>
              <w:rPr>
                <w:color w:val="333333"/>
                <w:sz w:val="21"/>
              </w:rPr>
              <w:t>The proposal spec fixes this architecture (8→64→32→1) specifically so training is fast enough to run many FL rounds on constrained hardware like a Pi 4 — the research contribution here is the federated/privacy infrastructure, not squeezing out extra accuracy from a bigger model. Given the baseline already hits F1 0.94 and AUC 0.98 on this architecture, there wasn't a compelling case to complicate it.</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FFBEB"/>
            <w:tcBorders>
              <w:left w:val="single" w:sz="28" w:color="F59E0B"/>
            </w:tcBorders>
          </w:tcPr>
          <w:p>
            <w:pPr>
              <w:spacing w:after="80"/>
            </w:pPr>
            <w:r>
              <w:rPr>
                <w:b/>
                <w:color w:val="92400E"/>
                <w:sz w:val="23"/>
              </w:rPr>
              <w:t>[Honest answer] Has this actually run on a Raspberry Pi, like the proposal specifies?</w:t>
            </w:r>
          </w:p>
          <w:p>
            <w:pPr>
              <w:spacing w:before="80" w:after="40"/>
            </w:pPr>
            <w:r>
              <w:rPr>
                <w:color w:val="333333"/>
                <w:sz w:val="21"/>
              </w:rPr>
              <w:t>Not yet — the code and deployment script (deploy_client.sh) are ready and correct, and comm overhead / latency are already logged automatically every round, but real Pi hardware benchmarking (latency, energy via UM25C, packet-loss testing) hasn't been run. It's the one proposal objective still unproven on physical hardware rather than in simulation.</w:t>
            </w:r>
          </w:p>
        </w:tc>
      </w:tr>
    </w:tbl>
    <w:p>
      <w:pPr>
        <w:spacing w:after="40"/>
      </w:pPr>
    </w:p>
    <w:p>
      <w:r>
        <w:br w:type="page"/>
      </w:r>
    </w:p>
    <w:p>
      <w:pPr>
        <w:pStyle w:val="Heading1"/>
        <w:spacing w:before="120"/>
      </w:pPr>
      <w:r>
        <w:rPr>
          <w:color w:val="0F3460"/>
          <w:sz w:val="34"/>
        </w:rPr>
        <w:t>8.  Reading the Metrics Right</w:t>
      </w:r>
    </w:p>
    <w:p>
      <w:pPr>
        <w:spacing w:after="200"/>
      </w:pPr>
      <w:r>
        <w:rPr>
          <w:i/>
          <w:color w:val="6B7280"/>
          <w:sz w:val="20"/>
        </w:rPr>
        <w:t>These trip people up because the numbers look similar but answer different questions.</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does "Balanced Accuracy" mean, and why isn't it the same as AUC?</w:t>
            </w:r>
          </w:p>
          <w:p>
            <w:pPr>
              <w:spacing w:before="80" w:after="40"/>
            </w:pPr>
            <w:r>
              <w:rPr>
                <w:color w:val="333333"/>
                <w:sz w:val="21"/>
              </w:rPr>
              <w:t>Balanced accuracy is the average of sensitivity (catching real at-risk students) and specificity (correctly leaving safe students alone) — computed at one specific decision threshold the model commits to. AUC measures something different: the model's ability to rank at-risk above not-at-risk students correctly, across every possible threshold at once.</w:t>
            </w:r>
          </w:p>
          <w:p>
            <w:pPr>
              <w:spacing w:before="120" w:after="40"/>
            </w:pPr>
            <w:r>
              <w:rPr>
                <w:color w:val="333333"/>
                <w:sz w:val="21"/>
              </w:rPr>
              <w:t>AUC is the ceiling — the model's full separating potential. Balanced accuracy is how much of that ceiling gets realised once you force one concrete yes/no decision per student. AUC is always ≥ balanced accuracy at any single threshold; a big gap between them would be the thing worth investigating, not a small one.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threshold does the model actually use — is it 0.5?</w:t>
            </w:r>
          </w:p>
          <w:p>
            <w:pPr>
              <w:spacing w:before="80" w:after="40"/>
            </w:pPr>
            <w:r>
              <w:rPr>
                <w:color w:val="333333"/>
                <w:sz w:val="21"/>
              </w:rPr>
              <w:t>No — the code never uses a fixed 0.5. Every evaluation computes its own cutoff via Youden's J statistic (the point on the ROC curve that maximises true-positive rate minus false-positive rate), recomputed per school, per round, from that round's own data. In one real run this came out to 0.5821, not 0.5 — a genuinely different, evidence-based number each time.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How would you actually identify a specific at-risk student?</w:t>
            </w:r>
          </w:p>
          <w:p>
            <w:pPr>
              <w:spacing w:before="80" w:after="40"/>
            </w:pPr>
            <w:r>
              <w:rPr>
                <w:color w:val="333333"/>
                <w:sz w:val="21"/>
              </w:rPr>
              <w:t>Two different questions get conflated here. The actual count of at-risk students is just the real label already in the data (e.g. school_gamma is 57% at-risk) — nothing to do with the model. Spotting one specific student means feeding their features through the trained model to get a probability, then comparing it against that round's threshold.</w:t>
            </w:r>
          </w:p>
          <w:p>
            <w:pPr>
              <w:spacing w:before="120" w:after="40"/>
            </w:pPr>
            <w:r>
              <w:rPr>
                <w:color w:val="333333"/>
                <w:sz w:val="21"/>
              </w:rPr>
              <w:t>Important point for the defense: our dashboard deliberately never does this for individual students. Per-student predictions would only ever happen locally, inside a school's own system, on that school's own roster — never surfaced to the district-level dashboard, which only ever shows aggregated numbers. That's not a missing feature, it's the actual privacy guarantee working as designed.</w:t>
            </w:r>
          </w:p>
        </w:tc>
      </w:tr>
    </w:tbl>
    <w:p>
      <w:pPr>
        <w:spacing w:after="40"/>
      </w:pPr>
    </w:p>
    <w:p>
      <w:r>
        <w:br w:type="page"/>
      </w:r>
    </w:p>
    <w:p>
      <w:pPr>
        <w:pStyle w:val="Heading1"/>
        <w:spacing w:before="120"/>
      </w:pPr>
      <w:r>
        <w:rPr>
          <w:color w:val="0F3460"/>
          <w:sz w:val="34"/>
        </w:rPr>
        <w:t>9.  Walking Through the Dashboard</w:t>
      </w:r>
    </w:p>
    <w:p>
      <w:pPr>
        <w:spacing w:after="200"/>
      </w:pPr>
      <w:r>
        <w:rPr>
          <w:i/>
          <w:color w:val="6B7280"/>
          <w:sz w:val="20"/>
        </w:rPr>
        <w:t>If asked to explain what's on screen during the live demo, here's the tour.</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do the header badges and the six metric cards mean?</w:t>
            </w:r>
          </w:p>
          <w:p>
            <w:pPr>
              <w:spacing w:before="80" w:after="40"/>
            </w:pPr>
            <w:r>
              <w:rPr>
                <w:color w:val="333333"/>
                <w:sz w:val="21"/>
              </w:rPr>
              <w:t>Header badges show the live config for the current run: Flower version, Paillier key size, DP-SGD status, and Idle/Running state.</w:t>
            </w:r>
          </w:p>
          <w:p>
            <w:pPr>
              <w:spacing w:before="120" w:after="40"/>
            </w:pPr>
            <w:r>
              <w:rPr>
                <w:color w:val="333333"/>
                <w:sz w:val="21"/>
              </w:rPr>
              <w:t>The six cards: Current Round (progress through the configured total); F1-Score (macro) (primary evaluation metric); Balanced Accuracy + AUC (see Section 5); Privacy Budget ε (worst case across all schools that round); Comm. Overhead (encrypted MB transmitted per round — target &lt;50MB); School Nodes (how many participated vs how many are offline).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does the Privacy-Accuracy chart show data before you even start a simulation, but the Convergence chart doesn't?</w:t>
            </w:r>
          </w:p>
          <w:p>
            <w:pPr>
              <w:spacing w:before="80" w:after="40"/>
            </w:pPr>
            <w:r>
              <w:rPr>
                <w:color w:val="333333"/>
                <w:sz w:val="21"/>
              </w:rPr>
              <w:t>They pull from two different places. The Privacy-Accuracy chart reads a pre-computed file (results/privacy_accuracy_tradeoff.json) generated once offline by privacy_accuracy_sweep.py — it shows up immediately because the file already exists. The Convergence and Comm. Overhead charts read live telemetry from an actual running simulation, so they correctly show "No data yet" until you click Start.</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What's the completion summary popup for?</w:t>
            </w:r>
          </w:p>
          <w:p>
            <w:pPr>
              <w:spacing w:before="80" w:after="40"/>
            </w:pPr>
            <w:r>
              <w:rPr>
                <w:color w:val="333333"/>
                <w:sz w:val="21"/>
              </w:rPr>
              <w:t>When a run finishes, a modal automatically summarises the final F1, balanced accuracy, AUC, max privacy budget, total communication overhead, active config, and — most usefully for the demo — a direct pass/fail line against the centralised baseline ("✓ Within the 5pp target"), which is Objective 1 confirmed live, on screen, the moment a round finishes.</w:t>
            </w:r>
          </w:p>
        </w:tc>
      </w:tr>
    </w:tbl>
    <w:p>
      <w:pPr>
        <w:spacing w:after="40"/>
      </w:pPr>
    </w:p>
    <w:p>
      <w:pPr>
        <w:spacing w:before="480"/>
        <w:jc w:val="center"/>
      </w:pPr>
      <w:r>
        <w:rPr>
          <w:color w:val="6B7280"/>
          <w:sz w:val="18"/>
        </w:rPr>
        <w:t>Cross-School Federated Learning — Group 7 — Defense Q&amp;A Study Guide</w:t>
        <w:br/>
        <w:t>Compiled for presentation preparation — share freely within the group</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