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drawing>
          <wp:inline distT="0" distB="0" distL="0" distR="0">
            <wp:extent cx="4476750" cy="1495425"/>
            <wp:effectExtent t="0" r="0" b="0" l="0"/>
            <wp:docPr id="1" name="logo" descr="nuudle wordmark, white on violet" title="nuudl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560"/>
        <w:jc w:val="center"/>
      </w:pPr>
      <w:r>
        <w:rPr>
          <w:b/>
          <w:bCs/>
          <w:color w:val="17082E"/>
          <w:sz w:val="56"/>
          <w:szCs w:val="56"/>
        </w:rPr>
        <w:t xml:space="preserve">Brand Guidelines</w:t>
      </w:r>
    </w:p>
    <w:p>
      <w:pPr>
        <w:spacing w:before="80"/>
        <w:jc w:val="center"/>
      </w:pPr>
      <w:r>
        <w:rPr>
          <w:b/>
          <w:bCs/>
          <w:color w:val="5E06F9"/>
          <w:sz w:val="28"/>
          <w:szCs w:val="28"/>
        </w:rPr>
        <w:t xml:space="preserve">Noodle  ·  nuudle</w:t>
      </w:r>
    </w:p>
    <w:p>
      <w:pPr>
        <w:spacing w:after="400" w:before="40"/>
        <w:jc w:val="center"/>
      </w:pPr>
      <w:r>
        <w:rPr>
          <w:color w:val="6B6580"/>
          <w:sz w:val="20"/>
          <w:szCs w:val="20"/>
        </w:rPr>
        <w:t xml:space="preserve">Version 2.1 — single-line script logo</w:t>
      </w:r>
    </w:p>
    <w:p>
      <w:pPr>
        <w:jc w:val="center"/>
      </w:pPr>
      <w:r>
        <w:rPr>
          <w:b/>
          <w:bCs/>
          <w:color w:val="5E06F9"/>
          <w:sz w:val="32"/>
          <w:szCs w:val="32"/>
        </w:rPr>
        <w:t xml:space="preserve">Own your outreach.</w:t>
      </w:r>
    </w:p>
    <w:p>
      <w:pPr>
        <w:spacing w:before="70"/>
        <w:jc w:val="center"/>
      </w:pPr>
      <w:r>
        <w:rPr>
          <w:i/>
          <w:iCs/>
          <w:color w:val="6B6580"/>
          <w:sz w:val="20"/>
          <w:szCs w:val="20"/>
        </w:rPr>
        <w:t xml:space="preserve">Outreach that sounds like you — not a robot.</w:t>
      </w:r>
    </w:p>
    <w:p>
      <w:r>
        <w:br w:type="page"/>
      </w:r>
    </w:p>
    <w:p>
      <w:pPr>
        <w:pStyle w:val="Heading1"/>
      </w:pPr>
      <w:r>
        <w:t xml:space="preserve">1. Brand at a glance</w:t>
      </w:r>
    </w:p>
    <w:p>
      <w:pPr>
        <w:spacing w:after="120" w:line="276"/>
      </w:pPr>
      <w:r>
        <w:t xml:space="preserve">Noodle is the warm, smart way to reach out. It finds the right people, researches them, and writes an email that actually sounds like you — not a robot.</w:t>
      </w:r>
    </w:p>
    <w:p>
      <w:pPr>
        <w:spacing w:after="120" w:line="276"/>
      </w:pPr>
      <w:r>
        <w:t xml:space="preserve">The logo carries the whole strategy in one stroke. The wordmark is a single unbroken handwritten line spelling nuudle, in electric violet: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One continuous line = connection. </w:t>
      </w:r>
      <w:r>
        <w:t xml:space="preserve">The strand never lifts — it threads through every letter, linking them, the same way the product links you to the right people. It is the noodle and the network in one mark.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Handwritten = personal. </w:t>
      </w:r>
      <w:r>
        <w:t xml:space="preserve">A human hand wrote this — the promise of the product: outreach in your voice, not a generic template.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Electric violet = intelligent and modern. </w:t>
      </w:r>
      <w:r>
        <w:t xml:space="preserve">It reads AI-forward and energetic, not grey-corporate.</w:t>
      </w:r>
    </w:p>
    <w:p>
      <w:pPr>
        <w:spacing w:after="120" w:line="276"/>
      </w:pPr>
      <w:r>
        <w:rPr>
          <w:b/>
          <w:bCs/>
          <w:color w:val="5E06F9"/>
        </w:rPr>
        <w:t xml:space="preserve">Tagline:  </w:t>
      </w:r>
      <w:r>
        <w:t xml:space="preserve">Own your outreach.</w:t>
      </w:r>
    </w:p>
    <w:p>
      <w:pPr>
        <w:spacing w:after="120" w:line="276"/>
      </w:pPr>
      <w:r>
        <w:rPr>
          <w:b/>
          <w:bCs/>
        </w:rPr>
        <w:t xml:space="preserve">What it means:  </w:t>
      </w:r>
      <w:r>
        <w:t xml:space="preserve">outreach that sounds like you — not a robot. You own the voice, the angle, and the relationship. The tool does the legwork, but the result is unmistakably yours.</w:t>
      </w:r>
    </w:p>
    <w:p>
      <w:pPr>
        <w:pStyle w:val="Heading1"/>
      </w:pPr>
      <w:r>
        <w:t xml:space="preserve">2. Name &amp; spelling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5E0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5E0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</w:t>
            </w:r>
          </w:p>
        </w:tc>
        <w:tc>
          <w:tcPr>
            <w:tcW w:type="dxa" w:w="42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5E0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Spoken / in sentences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Noodle</w:t>
            </w:r>
          </w:p>
        </w:tc>
        <w:tc>
          <w:tcPr>
            <w:tcW w:type="dxa" w:w="42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Friendly and readable. Capitalised as a proper noun.</w:t>
            </w:r>
          </w:p>
        </w:tc>
      </w:tr>
      <w:tr>
        <w:tc>
          <w:tcPr>
            <w:tcW w:type="dxa" w:w="26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B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Wordmark / logo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B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nuudle</w:t>
            </w:r>
          </w:p>
        </w:tc>
        <w:tc>
          <w:tcPr>
            <w:tcW w:type="dxa" w:w="42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B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Lowercase, single-line script. The hero asset.</w:t>
            </w:r>
          </w:p>
        </w:tc>
      </w:tr>
      <w:tr>
        <w:tc>
          <w:tcPr>
            <w:tcW w:type="dxa" w:w="26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Domain / handles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nuudle.ai</w:t>
            </w:r>
          </w:p>
        </w:tc>
        <w:tc>
          <w:tcPr>
            <w:tcW w:type="dxa" w:w="42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The “uu” spelling makes the domain and trademark easy to secure.</w:t>
            </w:r>
          </w:p>
        </w:tc>
      </w:tr>
    </w:tbl>
    <w:p>
      <w:pPr>
        <w:spacing w:before="160"/>
      </w:pPr>
    </w:p>
    <w:p>
      <w:pPr>
        <w:spacing w:after="120" w:line="276"/>
      </w:pPr>
      <w:r>
        <w:t xml:space="preserve">The name carries three on-strategy meanings — use them deliberately: connection (strands that link), “use your noodle” (the idiom for think it through — the product does the thinking), and warmth (human, not spammy).</w:t>
      </w:r>
    </w:p>
    <w:p>
      <w:pPr>
        <w:pStyle w:val="Heading1"/>
      </w:pPr>
      <w:r>
        <w:t xml:space="preserve">3. Positioning &amp; personality</w:t>
      </w:r>
    </w:p>
    <w:p>
      <w:pPr>
        <w:spacing w:after="120" w:line="276"/>
      </w:pPr>
      <w:r>
        <w:rPr>
          <w:b/>
          <w:bCs/>
        </w:rPr>
        <w:t xml:space="preserve">Positioning. </w:t>
      </w:r>
      <w:r>
        <w:t xml:space="preserve">The warm, human alternative to cold outreach. Where other tools blast generic templates, Noodle sends a few genuinely personal emails in your own voice.</w:t>
      </w:r>
    </w:p>
    <w:p>
      <w:pPr>
        <w:spacing w:after="120" w:line="276"/>
      </w:pPr>
      <w:r>
        <w:rPr>
          <w:b/>
          <w:bCs/>
        </w:rPr>
        <w:t xml:space="preserve">Personality, in priority order: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Human</w:t>
      </w:r>
      <w:r>
        <w:t xml:space="preserve"> — it feels like a person wrote it (the handwritten mark says this out loud).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Smart</w:t>
      </w:r>
      <w:r>
        <w:t xml:space="preserve"> — it researches, finds the angle, and writes well.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Energetic</w:t>
      </w:r>
      <w:r>
        <w:t xml:space="preserve"> — modern, quick, confident; the violet brings the spark.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Lightly playful</w:t>
      </w:r>
      <w:r>
        <w:t xml:space="preserve"> — one wink, never a whole circus.</w:t>
      </w:r>
    </w:p>
    <w:p>
      <w:pPr>
        <w:spacing w:after="120" w:line="276"/>
      </w:pPr>
      <w:r>
        <w:rPr>
          <w:b/>
          <w:bCs/>
        </w:rPr>
        <w:t xml:space="preserve">The brand is not: </w:t>
      </w:r>
      <w:r>
        <w:t xml:space="preserve">loud, jargon-heavy, salesy, cutesy, or corporate-grey.</w:t>
      </w:r>
    </w:p>
    <w:p>
      <w:pPr>
        <w:pStyle w:val="Heading1"/>
      </w:pPr>
      <w:r>
        <w:t xml:space="preserve">4. Logo &amp; mark</w:t>
      </w:r>
    </w:p>
    <w:p>
      <w:pPr>
        <w:spacing w:after="120" w:line="276"/>
      </w:pPr>
      <w:r>
        <w:rPr>
          <w:b/>
          <w:bCs/>
        </w:rPr>
        <w:t xml:space="preserve">Primary asset. </w:t>
      </w:r>
      <w:r>
        <w:t xml:space="preserve">The nuudle wordmark — a single continuous handwritten line in electric violet. This unbroken stroke is the most important thing about the logo. Protect it.</w:t>
      </w:r>
    </w:p>
    <w:p>
      <w:pPr>
        <w:pStyle w:val="Heading2"/>
      </w:pPr>
      <w:r>
        <w:t xml:space="preserve">Construction rules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Never break the line. </w:t>
      </w:r>
      <w:r>
        <w:t xml:space="preserve">Don’t split, segment, or redraw letters individually. The connection concept dies the moment the stroke lifts.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Don’t re-letter it </w:t>
      </w:r>
      <w:r>
        <w:t xml:space="preserve">in a different font. The specific hand is the logo.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Keep the loops and the consistent stroke weight intact — don’t thin, thicken, or distort them.</w:t>
      </w:r>
    </w:p>
    <w:p>
      <w:pPr>
        <w:pStyle w:val="Heading2"/>
      </w:pPr>
      <w:r>
        <w:t xml:space="preserve">Lockups &amp; icon</w:t>
      </w:r>
    </w:p>
    <w:p>
      <w:pPr>
        <w:spacing w:after="120" w:line="276"/>
      </w:pPr>
      <w:r>
        <w:t xml:space="preserve">The wordmark is long and horizontal, so for square spaces (app icon, favicon, avatar) derive a monogram from a single continuous loop drawn in the same hand — for example a lowercase n loop or a small knotted strand mark. Keep it one stroke, same weight, same violet. Don’t cram the whole word into a square.</w:t>
      </w:r>
    </w:p>
    <w:p>
      <w:pPr>
        <w:pStyle w:val="Heading2"/>
      </w:pPr>
      <w:r>
        <w:t xml:space="preserve">Clear space, size &amp; inverse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Clear space: keep empty space around the wordmark equal to the cap height of the “d” on all sides.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Minimum size: wordmark no smaller than 22px tall; icon no smaller than 24px.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Inverse: electric violet on light backgrounds; white or lavender on violet / dark backgrounds.</w:t>
      </w:r>
    </w:p>
    <w:p>
      <w:pPr>
        <w:pStyle w:val="Heading2"/>
      </w:pPr>
      <w:r>
        <w:t xml:space="preserve">Don’t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Don’t break, recolour mid-word, or add a second colour to the stroke.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Don’t add a drop shadow, gradient, outline, or glow.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Don’t rotate, stretch, condense, or skew.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Don’t place it on a busy photo or a low-contrast / similar-violet background.</w:t>
      </w:r>
    </w:p>
    <w:p>
      <w:pPr>
        <w:pStyle w:val="Heading1"/>
        <w:pageBreakBefore/>
      </w:pPr>
      <w:r>
        <w:t xml:space="preserve">5. Colour</w:t>
      </w:r>
    </w:p>
    <w:p>
      <w:pPr>
        <w:spacing w:after="120" w:line="276"/>
      </w:pPr>
      <w:r>
        <w:t xml:space="preserve">Electric violet leads; a small set of violet-tinted neutrals supports it. Restraint keeps it credible.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26"/>
      </w:tblGrid>
      <w:tr>
        <w:trPr>
          <w:tblHeader/>
        </w:trPr>
        <w:tc>
          <w:tcPr>
            <w:tcW w:type="dxa" w:w="20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5E0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Swatch / Hex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5E0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8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5E0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</w:t>
            </w:r>
          </w:p>
        </w:tc>
      </w:tr>
      <w:tr>
        <w:tc>
          <w:tcPr>
            <w:tcW w:type="dxa" w:w="20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5E0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#5E06F9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Electric violet</w:t>
            </w:r>
          </w:p>
        </w:tc>
        <w:tc>
          <w:tcPr>
            <w:tcW w:type="dxa" w:w="48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Logo, primary buttons, links, key accents</w:t>
            </w:r>
          </w:p>
        </w:tc>
      </w:tr>
      <w:tr>
        <w:tc>
          <w:tcPr>
            <w:tcW w:type="dxa" w:w="20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8B5CF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#8B5CF6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Violet 400 (soft)</w:t>
            </w:r>
          </w:p>
        </w:tc>
        <w:tc>
          <w:tcPr>
            <w:tcW w:type="dxa" w:w="48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Hover, tints, secondary accents, charts</w:t>
            </w:r>
          </w:p>
        </w:tc>
      </w:tr>
      <w:tr>
        <w:tc>
          <w:tcPr>
            <w:tcW w:type="dxa" w:w="20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17082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#17082E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Ink violet</w:t>
            </w:r>
          </w:p>
        </w:tc>
        <w:tc>
          <w:tcPr>
            <w:tcW w:type="dxa" w:w="48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Body text, headings, high-contrast UI</w:t>
            </w:r>
          </w:p>
        </w:tc>
      </w:tr>
      <w:tr>
        <w:tc>
          <w:tcPr>
            <w:tcW w:type="dxa" w:w="20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6B658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#6B6580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Slate</w:t>
            </w:r>
          </w:p>
        </w:tc>
        <w:tc>
          <w:tcPr>
            <w:tcW w:type="dxa" w:w="48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Subtitles, captions, muted labels</w:t>
            </w:r>
          </w:p>
        </w:tc>
      </w:tr>
      <w:tr>
        <w:tc>
          <w:tcPr>
            <w:tcW w:type="dxa" w:w="20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3EFF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#F3EFFE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Lavender mist</w:t>
            </w:r>
          </w:p>
        </w:tc>
        <w:tc>
          <w:tcPr>
            <w:tcW w:type="dxa" w:w="48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Cards, section backgrounds, highlights</w:t>
            </w:r>
          </w:p>
        </w:tc>
      </w:tr>
      <w:tr>
        <w:tc>
          <w:tcPr>
            <w:tcW w:type="dxa" w:w="20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B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#FBFAFD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Off-white</w:t>
            </w:r>
          </w:p>
        </w:tc>
        <w:tc>
          <w:tcPr>
            <w:tcW w:type="dxa" w:w="48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E7E1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#E7E1F5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Border</w:t>
            </w:r>
          </w:p>
        </w:tc>
        <w:tc>
          <w:tcPr>
            <w:tcW w:type="dxa" w:w="48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Dividers, card borders</w:t>
            </w:r>
          </w:p>
        </w:tc>
      </w:tr>
      <w:tr>
        <w:tc>
          <w:tcPr>
            <w:tcW w:type="dxa" w:w="20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7A5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#FF7A5C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7082E"/>
                <w:sz w:val="20"/>
                <w:szCs w:val="20"/>
              </w:rPr>
              <w:t xml:space="preserve">Coral (optional)</w:t>
            </w:r>
          </w:p>
        </w:tc>
        <w:tc>
          <w:tcPr>
            <w:tcW w:type="dxa" w:w="48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Warm counterpoint — use ≤5%, highlights only</w:t>
            </w:r>
          </w:p>
        </w:tc>
      </w:tr>
    </w:tbl>
    <w:p>
      <w:pPr>
        <w:spacing w:before="160"/>
      </w:pPr>
    </w:p>
    <w:p>
      <w:pPr>
        <w:spacing w:after="120" w:line="276"/>
      </w:pPr>
      <w:r>
        <w:rPr>
          <w:b/>
          <w:bCs/>
        </w:rPr>
        <w:t xml:space="preserve">Usage ratio (60 / 30 / 10): </w:t>
      </w:r>
      <w:r>
        <w:t xml:space="preserve">~60% off-white / white, ~30% ink + neutrals, ~10% electric violet. The optional coral is a garnish on top of that 10%, never a base. The violet is loud on its own — a little goes a long way.</w:t>
      </w:r>
    </w:p>
    <w:p>
      <w:pPr>
        <w:spacing w:after="120" w:line="276"/>
      </w:pPr>
      <w:r>
        <w:rPr>
          <w:b/>
          <w:bCs/>
        </w:rPr>
        <w:t xml:space="preserve">Accessibility: </w:t>
      </w:r>
      <w:r>
        <w:t xml:space="preserve">use ink violet for small body text; white on electric violet is high-contrast and ideal for primary buttons.</w:t>
      </w:r>
    </w:p>
    <w:p>
      <w:pPr>
        <w:pStyle w:val="Heading1"/>
      </w:pPr>
      <w:r>
        <w:t xml:space="preserve">6. Typography</w:t>
      </w:r>
    </w:p>
    <w:p>
      <w:pPr>
        <w:spacing w:after="120" w:line="276"/>
      </w:pPr>
      <w:r>
        <w:t xml:space="preserve">The logo is script; everything else is a clean sans. The handwriting stays special precisely because it is used only in the logo.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Logo: </w:t>
      </w:r>
      <w:r>
        <w:t xml:space="preserve">the single-line handwritten script (locked asset — never reused for other text).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Headings &amp; UI: </w:t>
      </w:r>
      <w:r>
        <w:t xml:space="preserve">a clean geometric grotesque — Geist or Inter (free, web-ready), Medium (500).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Body: </w:t>
      </w:r>
      <w:r>
        <w:t xml:space="preserve">the same sans, Regular (400).</w:t>
      </w:r>
    </w:p>
    <w:p>
      <w:pPr>
        <w:spacing w:after="120" w:line="276"/>
      </w:pPr>
      <w:r>
        <w:rPr>
          <w:b/>
          <w:bCs/>
        </w:rPr>
        <w:t xml:space="preserve">Rules: </w:t>
      </w:r>
      <w:r>
        <w:t xml:space="preserve">two weights maximum; sentence case everywhere (never ALL CAPS); generous body line height (≈1.6); never set headings or body in a script font — that space belongs to the logo alone.</w:t>
      </w:r>
    </w:p>
    <w:p>
      <w:pPr>
        <w:pStyle w:val="Heading1"/>
      </w:pPr>
      <w:r>
        <w:t xml:space="preserve">7. Voice &amp; tone</w:t>
      </w:r>
    </w:p>
    <w:p>
      <w:pPr>
        <w:spacing w:after="120" w:line="276"/>
      </w:pPr>
      <w:r>
        <w:t xml:space="preserve">Write the way the product writes: like a thoughtful person, not a marketing department.</w:t>
      </w:r>
    </w:p>
    <w:p>
      <w:pPr>
        <w:spacing w:after="120" w:line="276"/>
      </w:pPr>
      <w:r>
        <w:rPr>
          <w:b/>
          <w:bCs/>
          <w:color w:val="5E06F9"/>
        </w:rPr>
        <w:t xml:space="preserve">Do: </w:t>
      </w:r>
      <w:r>
        <w:t xml:space="preserve">short, confident sentences; warm and direct; contractions are good; lead with the benefit; use the food / connection metaphor occasionally as a wink.</w:t>
      </w:r>
    </w:p>
    <w:p>
      <w:pPr>
        <w:spacing w:after="120" w:line="276"/>
      </w:pPr>
      <w:r>
        <w:rPr>
          <w:b/>
          <w:bCs/>
          <w:color w:val="FF7A5C"/>
        </w:rPr>
        <w:t xml:space="preserve">Don’t: </w:t>
      </w:r>
      <w:r>
        <w:t xml:space="preserve">no buzzwords (synergy, leverage, game-changing); no exclamation spam or emoji in product UI; don’t over-explain — if a sentence can be cut, cut it.</w:t>
      </w:r>
    </w:p>
    <w:p>
      <w:pPr>
        <w:spacing w:after="120" w:line="276"/>
      </w:pPr>
      <w:r>
        <w:rPr>
          <w:b/>
          <w:bCs/>
        </w:rPr>
        <w:t xml:space="preserve">Taglines, in priority order: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i/>
          <w:iCs/>
          <w:color w:val="5E06F9"/>
        </w:rPr>
        <w:t xml:space="preserve">Own your outreach. </w:t>
      </w:r>
      <w:r>
        <w:t xml:space="preserve">(primary — the brand line)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i/>
          <w:iCs/>
        </w:rPr>
        <w:t xml:space="preserve">Outreach that sounds like you — not a robot. </w:t>
      </w:r>
      <w:r>
        <w:t xml:space="preserve">(the explainer)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i/>
          <w:iCs/>
        </w:rPr>
        <w:t xml:space="preserve">Find your people. Sound like yourself.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i/>
          <w:iCs/>
        </w:rPr>
        <w:t xml:space="preserve">Use your noodle. </w:t>
      </w:r>
      <w:r>
        <w:t xml:space="preserve">(the wink — short form, app store, swag)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i/>
          <w:iCs/>
        </w:rPr>
        <w:t xml:space="preserve">Cold outreach, served warm.</w:t>
      </w:r>
    </w:p>
    <w:p>
      <w:pPr>
        <w:spacing w:after="80" w:before="80"/>
      </w:pPr>
      <w:r>
        <w:rPr>
          <w:b/>
          <w:bCs/>
          <w:color w:val="17082E"/>
        </w:rPr>
        <w:t xml:space="preserve">Voice example — an in-brand outreach email: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/>
              <w:left w:val="single" w:color="5E06F9" w:sz="18"/>
              <w:bottom w:val="none"/>
              <w:right w:val="none"/>
            </w:tcBorders>
            <w:shd w:fill="F3EF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7082E"/>
                <w:sz w:val="20"/>
                <w:szCs w:val="20"/>
              </w:rPr>
              <w:t xml:space="preserve">Subject: quick one on your logistics SaaS portfolio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708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7082E"/>
                <w:sz w:val="20"/>
                <w:szCs w:val="20"/>
              </w:rPr>
              <w:t xml:space="preserve">Hi Sam,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7082E"/>
                <w:sz w:val="20"/>
                <w:szCs w:val="20"/>
              </w:rPr>
              <w:t xml:space="preserve">Saw you backed two freight-tech teams this year — we’re building in the same space and cutting onboarding time by 40%. Thought it might be worth a quick chat before we open our round.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7082E"/>
                <w:sz w:val="20"/>
                <w:szCs w:val="20"/>
              </w:rPr>
              <w:t xml:space="preserve">Free for 15 minutes next week?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7082E"/>
                <w:sz w:val="20"/>
                <w:szCs w:val="20"/>
              </w:rPr>
              <w:t xml:space="preserve"/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7082E"/>
                <w:sz w:val="20"/>
                <w:szCs w:val="20"/>
              </w:rPr>
              <w:t xml:space="preserve">Cheers,</w:t>
            </w:r>
          </w:p>
          <w:p>
            <w:pPr>
              <w:spacing w:after="60"/>
            </w:pPr>
            <w:r>
              <w:rPr>
                <w:b w:val="false"/>
                <w:bCs w:val="false"/>
                <w:i w:val="false"/>
                <w:iCs w:val="false"/>
                <w:color w:val="17082E"/>
                <w:sz w:val="20"/>
                <w:szCs w:val="20"/>
              </w:rPr>
              <w:t xml:space="preserve">Ammad</w:t>
            </w:r>
          </w:p>
        </w:tc>
      </w:tr>
    </w:tbl>
    <w:p>
      <w:pPr>
        <w:pStyle w:val="Heading1"/>
        <w:pageBreakBefore/>
      </w:pPr>
      <w:r>
        <w:t xml:space="preserve">8. Product feature naming</w:t>
      </w:r>
    </w:p>
    <w:p>
      <w:pPr>
        <w:spacing w:after="120" w:line="276"/>
      </w:pPr>
      <w:r>
        <w:t xml:space="preserve">Name the product’s parts in-world so the app feels cohesive and on-brand: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5E0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Generic name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5E0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Branded name</w:t>
            </w:r>
          </w:p>
        </w:tc>
        <w:tc>
          <w:tcPr>
            <w:tcW w:type="dxa" w:w="42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5E06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Voice Profile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Secret Sauce</w:t>
            </w:r>
          </w:p>
        </w:tc>
        <w:tc>
          <w:tcPr>
            <w:tcW w:type="dxa" w:w="42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Sells the differentiator in two words — the flavour that makes emails taste like you.</w:t>
            </w:r>
          </w:p>
        </w:tc>
      </w:tr>
      <w:tr>
        <w:tc>
          <w:tcPr>
            <w:tcW w:type="dxa" w:w="26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B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A batch / run of matches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B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a bowl</w:t>
            </w:r>
          </w:p>
        </w:tc>
        <w:tc>
          <w:tcPr>
            <w:tcW w:type="dxa" w:w="42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BFAFD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“You’ve got a fresh bowl of 12 matches.”</w:t>
            </w:r>
          </w:p>
        </w:tc>
      </w:tr>
      <w:tr>
        <w:tc>
          <w:tcPr>
            <w:tcW w:type="dxa" w:w="26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The search step</w:t>
            </w:r>
          </w:p>
        </w:tc>
        <w:tc>
          <w:tcPr>
            <w:tcW w:type="dxa" w:w="2200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finding your people</w:t>
            </w:r>
          </w:p>
        </w:tc>
        <w:tc>
          <w:tcPr>
            <w:tcW w:type="dxa" w:w="4226"/>
            <w:tcBorders>
              <w:top w:val="single" w:color="E7E1F5" w:sz="4"/>
              <w:left w:val="single" w:color="E7E1F5" w:sz="4"/>
              <w:bottom w:val="single" w:color="E7E1F5" w:sz="4"/>
              <w:right w:val="single" w:color="E7E1F5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7082E"/>
                <w:sz w:val="20"/>
                <w:szCs w:val="20"/>
              </w:rPr>
              <w:t xml:space="preserve">Plain, warm, human.</w:t>
            </w:r>
          </w:p>
        </w:tc>
      </w:tr>
    </w:tbl>
    <w:p>
      <w:pPr>
        <w:spacing w:before="160"/>
      </w:pPr>
    </w:p>
    <w:p>
      <w:pPr>
        <w:spacing w:after="120" w:line="276"/>
      </w:pPr>
      <w:r>
        <w:t xml:space="preserve">Lowercase in running UI (“your secret sauce”); capitalised as a menu label.</w:t>
      </w:r>
    </w:p>
    <w:p>
      <w:pPr>
        <w:pStyle w:val="Heading1"/>
      </w:pPr>
      <w:r>
        <w:t xml:space="preserve">9. Application notes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Loading state — </w:t>
      </w:r>
      <w:r>
        <w:t xml:space="preserve">animate the wordmark drawing itself as one continuous stroke, left to right, while matches stream in. The single-line logo is built for this; it turns a wait into a signature brand moment.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App icon — </w:t>
      </w:r>
      <w:r>
        <w:t xml:space="preserve">a single-loop monogram, electric violet on off-white, or white on violet.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Empty state — </w:t>
      </w:r>
      <w:r>
        <w:t xml:space="preserve">honest and warm: “No strong matches this time — try widening the search.” Never pad results.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Buttons — </w:t>
      </w:r>
      <w:r>
        <w:t xml:space="preserve">electric-violet fill with white text for the primary action; one primary action per screen; outline-only for secondary.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Email compliance footer — </w:t>
      </w:r>
      <w:r>
        <w:t xml:space="preserve">sender identity + opt-out line, slate, small, always present on send.</w:t>
      </w:r>
    </w:p>
    <w:p>
      <w:pPr>
        <w:pBdr>
          <w:bottom w:val="single" w:color="E7E1F5" w:sz="6" w:space="1"/>
        </w:pBdr>
        <w:spacing w:after="160"/>
      </w:pPr>
    </w:p>
    <w:p>
      <w:pPr>
        <w:spacing w:before="80"/>
      </w:pPr>
      <w:r>
        <w:rPr>
          <w:i/>
          <w:iCs/>
          <w:color w:val="6B6580"/>
          <w:sz w:val="18"/>
          <w:szCs w:val="18"/>
        </w:rPr>
        <w:t xml:space="preserve">Keep this document the single source of truth and version it (2.0, 2.1…) as the brand evolves.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580"/>
        <w:sz w:val="16"/>
        <w:szCs w:val="16"/>
      </w:rPr>
      <w:t xml:space="preserve">nuudle — brand guidelines   ·   </w:t>
    </w:r>
    <w:r>
      <w:rPr>
        <w:color w:val="6B65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  <w:rPr>
        <w:color w:val="5E06F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08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5E06F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7082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dc78dccadbf0e6b70116ebc9c9c4ba7e1d8e6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2026-06-20T15:07:41.408Z</dcterms:created>
  <dcterms:modified xsi:type="dcterms:W3CDTF">2026-06-20T15:07:41.408Z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