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c487f512d2f646d1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d5666efbdbcc47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200"/>
      </w:pPr>
      <w:r/>
    </w:p>
    <w:p>
      <w:pPr>
        <w:spacing w:after="200"/>
        <w:ind w:left="1200" w:right="1200"/>
        <w:jc w:val="left"/>
      </w:pPr>
      <w:r>
        <w:rPr>
          <w:rFonts w:ascii="Calibri" w:hAnsi="Calibri"/>
          <w:b/>
          <w:color w:val="2C3E50"/>
          <w:sz w:val="72"/>
        </w:rPr>
        <w:t>TAKA OS</w:t>
      </w:r>
    </w:p>
    <w:p>
      <w:pPr>
        <w:spacing w:after="400"/>
        <w:ind w:left="1200" w:right="1200"/>
        <w:jc w:val="left"/>
      </w:pPr>
      <w:r>
        <w:rPr>
          <w:color w:val="34495E"/>
          <w:sz w:val="36"/>
        </w:rPr>
        <w:t>Revue Finale Avant Developpement</w:t>
      </w:r>
    </w:p>
    <w:p>
      <w:pPr>
        <w:spacing w:after="600"/>
        <w:ind w:left="1200"/>
      </w:pPr>
      <w:r>
        <w:rPr>
          <w:color w:val="3498DB"/>
        </w:rPr>
        <w:t>________________________________________</w:t>
      </w:r>
    </w:p>
    <w:p>
      <w:pPr>
        <w:spacing w:after="3000"/>
        <w:ind w:left="1200"/>
        <w:jc w:val="left"/>
      </w:pPr>
      <w:r>
        <w:rPr>
          <w:color w:val="5D6D7E"/>
          <w:sz w:val="24"/>
        </w:rPr>
        <w:t>Document de synthese CTO  |  Mai 2026</w:t>
      </w:r>
    </w:p>
    <w:p>
      <w:pPr>
        <w:ind w:left="1200"/>
      </w:pPr>
      <w:r>
        <w:rPr>
          <w:color w:val="7F8C8D"/>
          <w:sz w:val="20"/>
        </w:rPr>
        <w:t>CONFIDENTIEL — Direction Executique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Table des Matieres</w:t>
      </w:r>
      <w:bookmarkStart w:name="_Toc000" w:id="1"/>
      <w:bookmarkEnd w:id="1"/>
    </w:p>
    <w:p>
      <w:pPr>
        <w:spacing w:after="300"/>
      </w:pPr>
      <w:r>
        <w:rPr>
          <w:color w:val="7F8C8D"/>
          <w:sz w:val="18"/>
        </w:rPr>
        <w:t>Clic droit sur la TOC &gt; "Mettre a jour les champs" pour rafraichir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Resume Executif</w:t>
      </w:r>
      <w:r>
        <w:tab/>
      </w:r>
      <w:r>
        <w:t>3</w:t>
      </w:r>
    </w:p>
    <w:p>
      <w:pPr>
        <w:pStyle w:val="TOC1"/>
      </w:pPr>
      <w:r>
        <w:t>Prerequis #1 : Remplacer Kimi API par Mistral AI</w:t>
      </w:r>
      <w:r>
        <w:tab/>
      </w:r>
      <w:r>
        <w:t>4</w:t>
      </w:r>
    </w:p>
    <w:p>
      <w:pPr>
        <w:pStyle w:val="TOC1"/>
      </w:pPr>
      <w:r>
        <w:t>Prerequis #2 : Decoupage 4 Semaines</w:t>
      </w:r>
      <w:r>
        <w:tab/>
      </w:r>
      <w:r>
        <w:t>5</w:t>
      </w:r>
    </w:p>
    <w:p>
      <w:pPr>
        <w:pStyle w:val="TOC1"/>
      </w:pPr>
      <w:r>
        <w:t>Prerequis #3 : 3 Decisions Techniques Non-Negociables</w:t>
      </w:r>
      <w:r>
        <w:tab/>
      </w:r>
      <w:r>
        <w:t>7</w:t>
      </w:r>
    </w:p>
    <w:p>
      <w:pPr>
        <w:pStyle w:val="TOC1"/>
      </w:pPr>
      <w:r>
        <w:t>Analyse Concurrence</w:t>
      </w:r>
      <w:r>
        <w:tab/>
      </w:r>
      <w:r>
        <w:t>8</w:t>
      </w:r>
    </w:p>
    <w:p>
      <w:pPr>
        <w:pStyle w:val="TOC1"/>
      </w:pPr>
      <w:r>
        <w:t>Analyse Reglementaire</w:t>
      </w:r>
      <w:r>
        <w:tab/>
      </w:r>
      <w:r>
        <w:t>10</w:t>
      </w:r>
    </w:p>
    <w:p>
      <w:pPr>
        <w:pStyle w:val="TOC1"/>
      </w:pPr>
      <w:r>
        <w:t>Analyse Technique</w:t>
      </w:r>
      <w:r>
        <w:tab/>
      </w:r>
      <w:r>
        <w:t>11</w:t>
      </w:r>
    </w:p>
    <w:p>
      <w:pPr>
        <w:pStyle w:val="TOC1"/>
      </w:pPr>
      <w:r>
        <w:t>Stack Technique Verrouillee</w:t>
      </w:r>
      <w:r>
        <w:tab/>
      </w:r>
      <w:r>
        <w:t>12</w:t>
      </w:r>
    </w:p>
    <w:p>
      <w:pPr>
        <w:pStyle w:val="TOC1"/>
      </w:pPr>
      <w:r>
        <w:t>Modele Economique</w:t>
      </w:r>
      <w:r>
        <w:tab/>
      </w:r>
      <w:r>
        <w:t>13</w:t>
      </w:r>
    </w:p>
    <w:p>
      <w:pPr>
        <w:pStyle w:val="TOC1"/>
      </w:pPr>
      <w:r>
        <w:t>Feuille de Route</w:t>
      </w:r>
      <w:r>
        <w:tab/>
      </w:r>
      <w:r>
        <w:t>14</w:t>
      </w:r>
    </w:p>
    <w:p>
      <w:pPr>
        <w:pStyle w:val="TOC1"/>
      </w:pPr>
      <w:r>
        <w:t>Decision Exigee du CEO</w:t>
      </w:r>
      <w:r>
        <w:tab/>
      </w:r>
      <w:r>
        <w:t>15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Resume Executif</w:t>
      </w:r>
      <w:bookmarkStart w:name="_Toc001" w:id="2"/>
      <w:bookmarkEnd w:id="2"/>
    </w:p>
    <w:p>
      <w:pPr>
        <w:spacing w:after="160"/>
      </w:pPr>
      <w:r>
        <w:t>TAKA OS est GO CONDITIONNEL. L'audit multi-dimension (concurrence, reglementation, technique) converge vers un verdict : le projet est viable, la faille bleue ocean existe, mais trois ajustements critiques doivent etre faits AVANT le premier commit. Si tu les valides, on code demain.</w:t>
      </w:r>
    </w:p>
    <w:p>
      <w:pPr>
        <w:pStyle w:val="Heading2"/>
      </w:pPr>
      <w:r>
        <w:t>Matrice de Scores</w:t>
      </w:r>
    </w:p>
    <w:tbl>
      <w:tblPr>
        <w:tblW w:w="5000" w:type="pct"/>
        <w:tblBorders>
          <w:top w:val="single" w:color="2C3E50" w:sz="12"/>
          <w:bottom w:val="single" w:color="2C3E50" w:sz="12"/>
          <w:insideH w:val="single" w:color="d5d8dc" w:sz="4"/>
        </w:tblBorders>
      </w:tblPr>
      <w:tblGrid>
        <w:gridCol w:w="3500"/>
        <w:gridCol w:w="1500"/>
        <w:gridCol w:w="1500"/>
        <w:gridCol w:w="2000"/>
      </w:tblGrid>
      <w:tr>
        <w:trPr>
          <w:tblHeader/>
        </w:trPr>
        <w:tc>
          <w:tcPr>
            <w:tcW w:w="35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w="15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Score</w:t>
            </w:r>
          </w:p>
        </w:tc>
        <w:tc>
          <w:tcPr>
            <w:tcW w:w="15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Seuil</w:t>
            </w:r>
          </w:p>
        </w:tc>
        <w:tc>
          <w:tcPr>
            <w:tcW w:w="20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Architecture technique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8.5/10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6/10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GO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Differenciation vs concurrence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8/10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6/10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GO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Viabilite reglementaire EU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7.5/10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6/10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GO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Utilite metier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7/10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6/10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GO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Facilite deploiement MVP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7/10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6/10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GO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Adoptabilite PME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6.5/10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6/10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GO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Viabilite economique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6.5/10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6/10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GO</w:t>
            </w:r>
          </w:p>
        </w:tc>
      </w:tr>
    </w:tbl>
    <w:p>
      <w:pPr>
        <w:spacing w:before="120" w:after="160"/>
      </w:pPr>
      <w:r>
        <w:rPr>
          <w:b/>
          <w:color w:val="2C3E50"/>
        </w:rPr>
        <w:t>Verdict global : GO — sous reserve des 3 prerequis ci-dessous.</w:t>
      </w:r>
    </w:p>
    <w:p>
      <w:pPr>
        <w:pStyle w:val="Heading1"/>
      </w:pPr>
      <w:r>
        <w:t>Prerequis #1 : Remplacer Kimi API par Mistral AI</w:t>
      </w:r>
      <w:bookmarkStart w:name="_Toc002" w:id="3"/>
      <w:bookmarkEnd w:id="3"/>
    </w:p>
    <w:p>
      <w:pPr>
        <w:spacing w:before="120" w:after="160"/>
      </w:pPr>
      <w:r>
        <w:rPr>
          <w:b/>
          <w:color w:val="2C3E50"/>
        </w:rPr>
        <w:t>C'est non-negociable. L'analyse reglementaire est sans appel.</w:t>
      </w:r>
    </w:p>
    <w:tbl>
      <w:tblPr>
        <w:tblW w:w="5000" w:type="pct"/>
        <w:tblBorders>
          <w:top w:val="single" w:color="2C3E50" w:sz="12"/>
          <w:bottom w:val="single" w:color="2C3E50" w:sz="12"/>
          <w:insideH w:val="single" w:color="d5d8dc" w:sz="4"/>
        </w:tblBorders>
      </w:tblPr>
      <w:tblGrid>
        <w:gridCol w:w="3500"/>
        <w:gridCol w:w="1500"/>
        <w:gridCol w:w="3500"/>
      </w:tblGrid>
      <w:tr>
        <w:trPr>
          <w:tblHeader/>
        </w:trPr>
        <w:tc>
          <w:tcPr>
            <w:tcW w:w="35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Risque Kimi API (Chine)</w:t>
            </w:r>
          </w:p>
        </w:tc>
        <w:tc>
          <w:tcPr>
            <w:tcW w:w="15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Niveau</w:t>
            </w:r>
          </w:p>
        </w:tc>
        <w:tc>
          <w:tcPr>
            <w:tcW w:w="35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Consequence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Transfert RGPD vers pays non-adequat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CRITIQUE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Sanctions jusqu'a 20M EUR ou 4% du CA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Acces potentiel autorites chinoises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CRITIQUE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Loi chinoise cybersurete 2017 + loi securite des donnees 2021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Distillation industrielle (accusation US avril 2026)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ELEVEE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Risque geopolitique, restrictions croissantes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Conflit souverainete numerique EU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ELEVEE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Incompatible avec le positionnement "OS souverain"</w:t>
            </w:r>
          </w:p>
        </w:tc>
      </w:tr>
    </w:tbl>
    <w:p>
      <w:pPr>
        <w:pStyle w:val="Heading3"/>
      </w:pPr>
      <w:r>
        <w:t>La solution : Mistral AI (France)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API hebergee en France/UE, conforme RGPD native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Modeles Mistral Large / Medium disponibles via API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Alternative : Mixtral 8x22B ou Llama 4 self-hosted sur le VPS (zero donnee sortante)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Cout comparable a Kimi, qualite equivalente pour du parsing/du scoring</w:t>
      </w:r>
    </w:p>
    <w:p>
      <w:pPr>
        <w:spacing w:after="160"/>
      </w:pPr>
      <w:r>
        <w:t>Impact sur le code : Remplacer llm_base_url et llm_model dans la config. Aucun impact architectural. Le client httpx + Jinja2 est agnostique du provider.</w:t>
      </w:r>
    </w:p>
    <w:p>
      <w:pPr>
        <w:spacing w:before="120" w:after="160"/>
      </w:pPr>
      <w:r>
        <w:rPr>
          <w:b/>
          <w:color w:val="2C3E50"/>
        </w:rPr>
        <w:t>Recommandation CTO : Commencer avec l'API Mistral (zero friction), basculer sur un modele local quand on a &gt;50 clients et que le cout LLM devient significatif.</w:t>
      </w:r>
    </w:p>
    <w:p>
      <w:pPr>
        <w:pStyle w:val="Heading1"/>
      </w:pPr>
      <w:r>
        <w:t>Prerequis #2 : Valider le Decoupage 4 Semaines</w:t>
      </w:r>
      <w:bookmarkStart w:name="_Toc003" w:id="4"/>
      <w:bookmarkEnd w:id="4"/>
    </w:p>
    <w:p>
      <w:pPr>
        <w:spacing w:after="160"/>
      </w:pPr>
      <w:r>
        <w:t>Le risque #1 de mort de TAKA OS, comme NEXA-MIND avant lui, c'est la sur-ingenierie. Voici le plan verrouille, point par point.</w:t>
      </w:r>
    </w:p>
    <w:p>
      <w:pPr>
        <w:pStyle w:val="Heading3"/>
      </w:pPr>
      <w:r>
        <w:t>Semaine 1 — OS de Fondation (Kernel + Auth + DB)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pyproject.toml, structure de projet, config Pydantic-Settings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PostgreSQL + pgvector, Alembic migrations, 7 tables SQL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Auth JWT (dev-login + login reel), RBAC basique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EventBus in-memory asyncio, Health checks</w:t>
      </w:r>
    </w:p>
    <w:p>
      <w:pPr>
        <w:spacing w:before="120" w:after="160"/>
      </w:pPr>
      <w:r>
        <w:rPr>
          <w:b/>
          <w:color w:val="2C3E50"/>
        </w:rPr>
        <w:t>Livrable : API qui demarre, auth fonctionnel, tests verts</w:t>
      </w:r>
    </w:p>
    <w:p>
      <w:pPr>
        <w:pStyle w:val="Heading3"/>
      </w:pPr>
      <w:r>
        <w:t>Semaine 2 — Sensorimotrice + Memoire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Upload PDF/UBL, pipeline de parsing stratifie (pypdf -&gt; pdfplumber -&gt; OCR fallback)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Extraction regles d'abord (CPV, montant, deadline, criteres) + LLM fallback pour champs manquants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pgvector : stockage embeddings DCE, recherche similarite (index HNSW)</w:t>
      </w:r>
    </w:p>
    <w:p>
      <w:pPr>
        <w:spacing w:before="120" w:after="160"/>
      </w:pPr>
      <w:r>
        <w:rPr>
          <w:b/>
          <w:color w:val="2C3E50"/>
        </w:rPr>
        <w:t>Livrable : POST /ao/parse-pdf retourne JSON structure, recherche similarite fonctionnelle</w:t>
      </w:r>
    </w:p>
    <w:p>
      <w:pPr>
        <w:pStyle w:val="Heading3"/>
      </w:pPr>
      <w:r>
        <w:t>Semaine 3 — Agent Qualifieur + Pipeline Kanban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Scoring GO/NO-GO (80% regles : CPV referentiel, fourchette montant, deadline, memoire episodique / 20% LLM fallback cas ambigus)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Pipeline Kanban : 8 stages, API changement d'etat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Dashboard React : liste AO, fiche detail, filtres</w:t>
      </w:r>
    </w:p>
    <w:p>
      <w:pPr>
        <w:spacing w:before="120" w:after="160"/>
      </w:pPr>
      <w:r>
        <w:rPr>
          <w:b/>
          <w:color w:val="2C3E50"/>
        </w:rPr>
        <w:t>Livrable : DCE uploade -&gt; score GO/NO-GO/MAYBE en &lt;5s (regles) ou &lt;10s (LLM)</w:t>
      </w:r>
    </w:p>
    <w:p>
      <w:pPr>
        <w:pStyle w:val="Heading3"/>
      </w:pPr>
      <w:r>
        <w:t>Semaine 4 — Agent Tracker + SaaS Packaging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Alertes email (7j/3j/1j avant deadline), relances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Audit trail complet, badge IA (AI Act Art. 50), checkbox validation humaine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Docker-compose production, seed script, README, LICENCE MIT</w:t>
      </w:r>
    </w:p>
    <w:p>
      <w:pPr>
        <w:spacing w:before="120" w:after="160"/>
      </w:pPr>
      <w:r>
        <w:rPr>
          <w:b/>
          <w:color w:val="2C3E50"/>
        </w:rPr>
        <w:t>Livrable : v0.1 taggee, deployable en 5 minutes sur VPS</w:t>
      </w:r>
    </w:p>
    <w:p>
      <w:pPr>
        <w:pStyle w:val="Heading3"/>
      </w:pPr>
      <w:r>
        <w:t>CE QUI EST EXCLU DE V0.1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Deliberation parlementaire (v0.3)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TAKA LAB auto-ameliorant (v0.2 : logs de scores seulement)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Generation automatique de memoires techniques (v0.2 : assistant copilote uniquement)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Connecteurs places de marche payants (v0.2 : upload manuel + parsing)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CrewAI (jamais, sauf si besoin specifique prouve)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Redis/NATS/Qdrant/Neo4j (jamais avant 50+ users)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Multi-tenancy RLS PostgreSQL (v0.2, application-level suffit en v0.1)</w:t>
      </w:r>
    </w:p>
    <w:p>
      <w:pPr>
        <w:pStyle w:val="Heading1"/>
      </w:pPr>
      <w:r>
        <w:t>Prerequis #3 : 3 Decisions Techniques Non-Negociables</w:t>
      </w:r>
      <w:bookmarkStart w:name="_Toc004" w:id="5"/>
      <w:bookmarkEnd w:id="5"/>
    </w:p>
    <w:p>
      <w:pPr>
        <w:spacing w:after="160"/>
      </w:pPr>
      <w:r>
        <w:t>Ces 3 points ont fait echouer NEXA-MIND. Ils ne feront pas echouer TAKA OS.</w:t>
      </w:r>
    </w:p>
    <w:p>
      <w:pPr>
        <w:pStyle w:val="Heading3"/>
      </w:pPr>
      <w:r>
        <w:t>Decision 1 : expire_on_commit=False (obligatoire)</w:t>
      </w:r>
    </w:p>
    <w:p>
      <w:pPr>
        <w:shd w:val="clear" w:fill="f5f6f8"/>
        <w:spacing w:before="120" w:after="120"/>
        <w:ind w:left="360"/>
      </w:pPr>
      <w:r>
        <w:rPr>
          <w:rFonts w:ascii="Consolas" w:hAnsi="Consolas"/>
          <w:color w:val="34495E"/>
          <w:sz w:val="18"/>
        </w:rPr>
        <w:t>async_sessionmaker(
    engine,
    class_=AsyncSession,
    expire_on_commit=False,  // SANS CECI, NEXA-MIND EST MORT
    autocommit=False,
    autoflush=False,
)</w:t>
      </w:r>
    </w:p>
    <w:p>
      <w:pPr>
        <w:spacing w:after="160"/>
      </w:pPr>
      <w:r>
        <w:t>Sans ce flag, SQLAlchemy tente de "recharger" les objets apres un commit en mode async, ce qui declenche des lazy loading errors en cascade. C'est le bug #1 de NEXA-MIND.</w:t>
      </w:r>
    </w:p>
    <w:p>
      <w:pPr>
        <w:pStyle w:val="Heading3"/>
      </w:pPr>
      <w:r>
        <w:t>Decision 2 : Circuit breaker sur TOUS les appels LLM (obligatoire)</w:t>
      </w:r>
    </w:p>
    <w:p>
      <w:pPr>
        <w:shd w:val="clear" w:fill="f5f6f8"/>
        <w:spacing w:before="120" w:after="120"/>
        <w:ind w:left="360"/>
      </w:pPr>
      <w:r>
        <w:rPr>
          <w:rFonts w:ascii="Consolas" w:hAnsi="Consolas"/>
          <w:color w:val="34495E"/>
          <w:sz w:val="18"/>
        </w:rPr>
        <w:t>@retry(stop=stop_after_attempt(3), wait=wait_exponential_jitter(initial=1, max=10))
async def complete(self, prompt: str) -&gt; str:
    if not self.circuit.can_execute():
        raise CircuitOpenError("LLM indisponible — scoring regles uniquement")
    // ... appel API avec timeout 30s</w:t>
      </w:r>
    </w:p>
    <w:p>
      <w:pPr>
        <w:spacing w:after="160"/>
      </w:pPr>
      <w:r>
        <w:t>Un timeout LLM = l'API bloquee 30s+ = l'utilisateur ferme l'onglet. Un circuit breaker ouvert = fallback immediat sur le scoring regles (80% des cas fonctionnent sans LLM).</w:t>
      </w:r>
    </w:p>
    <w:p>
      <w:pPr>
        <w:pStyle w:val="Heading3"/>
      </w:pPr>
      <w:r>
        <w:t>Decision 3 : Parsing PDF en tache de fond asynchrone (obligatoire)</w:t>
      </w:r>
    </w:p>
    <w:p>
      <w:pPr>
        <w:shd w:val="clear" w:fill="f5f6f8"/>
        <w:spacing w:before="120" w:after="120"/>
        <w:ind w:left="360"/>
      </w:pPr>
      <w:r>
        <w:rPr>
          <w:rFonts w:ascii="Consolas" w:hAnsi="Consolas"/>
          <w:color w:val="34495E"/>
          <w:sz w:val="18"/>
        </w:rPr>
        <w:t>@app.post("/tenders/upload")
async def upload_document(file: UploadFile):
    // 1. Sauvegarde du fichier (instantane)
    doc_id = await save_file(file)
    // 2. Lancement parsing en background (pas bloquant)
    asyncio.create_task(parse_document_background(doc_id))
    // 3. Reponse immediate a l'utilisateur
    return {"id": doc_id, "status": "parsing_en_cours"}</w:t>
      </w:r>
    </w:p>
    <w:p>
      <w:pPr>
        <w:spacing w:after="160"/>
      </w:pPr>
      <w:r>
        <w:t>Un DCE de 200 pages peut prendre 10-30s a parser. Si l'API attend, le client (React) timeout apres 10s. L'utilisateur voit "Analyse en cours..." et recoit une notification quand c'est pret.</w:t>
      </w:r>
    </w:p>
    <w:p>
      <w:pPr>
        <w:pStyle w:val="Heading1"/>
      </w:pPr>
      <w:r>
        <w:t>Analyse Concurrence — Faille Bleue Ocean Confirme</w:t>
      </w:r>
      <w:bookmarkStart w:name="_Toc005" w:id="6"/>
      <w:bookmarkEnd w:id="6"/>
    </w:p>
    <w:p>
      <w:pPr>
        <w:pStyle w:val="Heading2"/>
      </w:pPr>
      <w:r>
        <w:t>Le marche en chiffres (2026)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Marche RFP software global : 3.55 Mds USD (2025) -&gt; 7.61 Mds USD (2034), CAGR 10%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PME francaises candidates regulieres : ~60 000 (BTP, services, conseil, IT, securite)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Belgique : ~8 000-12 000 candidates supplementaires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39% des PME francaises utilisent deja l'IA (+15 points en 1 an)</w:t>
      </w:r>
    </w:p>
    <w:p>
      <w:pPr>
        <w:spacing w:before="120" w:after="160"/>
      </w:pPr>
      <w:r>
        <w:rPr>
          <w:b/>
          <w:color w:val="2C3E50"/>
        </w:rPr>
        <w:t>52% craignent le vol de donnees, 32% exigent un fournisseur EU</w:t>
      </w:r>
    </w:p>
    <w:p>
      <w:pPr>
        <w:pStyle w:val="Heading2"/>
      </w:pPr>
      <w:r>
        <w:t>Les 2 concurrents a surveiller</w:t>
      </w:r>
    </w:p>
    <w:p>
      <w:pPr>
        <w:pStyle w:val="Heading3"/>
      </w:pPr>
      <w:r>
        <w:t>Tenderbolt.AI (France, 2024) — DANGEREUX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Prix : 500-2 000 EUR/mois (estime, sales-led, opaque)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Forces : leader EU marches publics, analyse CCTP/CCAP, generation memoire technique, SOC2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Faiblesses : pas open source, pas de Kanban natif, pas de memoire vectorielle explicite, prix PME inaccessible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Position vs TAKA OS : ils font la reponse, TAKA OS fait tout le cycle (veille -&gt; qualif -&gt; suivi) a 10-20x moins cher</w:t>
      </w:r>
    </w:p>
    <w:p>
      <w:pPr>
        <w:pStyle w:val="Heading3"/>
      </w:pPr>
      <w:r>
        <w:t>Nextend.ai (France) — DANGEREUX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Prix : 200-1 500 EUR/mois (estime)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Forces : le plus complet du marche francais, DC1/DC2 automatises, coordination groupements, infra France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Faiblesses : pas open source, pas de Kanban mentionne, probablement cher pour PME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Position vs TAKA OS : ils sont plus avances sur la generation de reponses. TAKA OS gagne sur le prix, l'open source, le Kanban, et la memoire episodique.</w:t>
      </w:r>
    </w:p>
    <w:p>
      <w:pPr>
        <w:pStyle w:val="Heading2"/>
      </w:pPr>
      <w:r>
        <w:t>Notre positionnement unique (les 3 piliers)</w:t>
      </w:r>
    </w:p>
    <w:p>
      <w:pPr>
        <w:spacing w:after="120"/>
        <w:ind w:left="360"/>
      </w:pPr>
      <w:r>
        <w:rPr>
          <w:b/>
          <w:color w:val="3498DB"/>
        </w:rPr>
        <w:t xml:space="preserve">1. </w:t>
      </w:r>
      <w:r>
        <w:rPr>
          <w:b/>
        </w:rPr>
        <w:t xml:space="preserve">Open Source MIT + Self-Hosted + Souverainete EU </w:t>
      </w:r>
      <w:r>
        <w:t>= AUCUN concurrent ne combine les trois. C'est un fosse defensif qu'on peut creuser avec une communaute.</w:t>
      </w:r>
    </w:p>
    <w:p>
      <w:pPr>
        <w:spacing w:after="120"/>
        <w:ind w:left="360"/>
      </w:pPr>
      <w:r>
        <w:rPr>
          <w:b/>
          <w:color w:val="3498DB"/>
        </w:rPr>
        <w:t xml:space="preserve">2. </w:t>
      </w:r>
      <w:r>
        <w:rPr>
          <w:b/>
        </w:rPr>
        <w:t xml:space="preserve">Architecture 3 couches agentic integree </w:t>
      </w:r>
      <w:r>
        <w:t>(Veille + Qualification + Suivi Kanban) = Tenderbolt/Nextend couvrent qualif+reponse mais pas le suivi pipeline. Tendium fait veille+qualif mais pas Kanban. Personne ne fait les 3.</w:t>
      </w:r>
    </w:p>
    <w:p>
      <w:pPr>
        <w:spacing w:after="120"/>
        <w:ind w:left="360"/>
      </w:pPr>
      <w:r>
        <w:rPr>
          <w:b/>
          <w:color w:val="3498DB"/>
        </w:rPr>
        <w:t xml:space="preserve">3. </w:t>
      </w:r>
      <w:r>
        <w:rPr>
          <w:b/>
        </w:rPr>
        <w:t xml:space="preserve">Prix 10-20x inferieur </w:t>
      </w:r>
      <w:r>
        <w:t>: 49-499 EUR/mois vs 500-2 000 EUR pour les solutions AI equivalentes. Le plan Solo a 49 EUR/mois capte les PME qui utilisent Excel+alertes mail.</w:t>
      </w:r>
    </w:p>
    <w:p>
      <w:pPr>
        <w:spacing w:before="120" w:after="160"/>
      </w:pPr>
      <w:r>
        <w:rPr>
          <w:b/>
          <w:color w:val="2C3E50"/>
        </w:rPr>
        <w:t>FENETRE DE 12-18 MOIS. La faille existe aujourd'hui mais se resserre. Tenderbolt et Nextend sont bien finances et peuvent ajouter un Kanban ou baisser leurs prix. L'open source + la communaute sont la seule defense durable. Il faut avancer vite.</w:t>
      </w:r>
    </w:p>
    <w:p>
      <w:pPr>
        <w:pStyle w:val="Heading1"/>
      </w:pPr>
      <w:r>
        <w:t>Analyse Reglementaire — Viable avec 3 Ajustements</w:t>
      </w:r>
      <w:bookmarkStart w:name="_Toc006" w:id="7"/>
      <w:bookmarkEnd w:id="7"/>
    </w:p>
    <w:p>
      <w:pPr>
        <w:pStyle w:val="Heading2"/>
      </w:pPr>
      <w:r>
        <w:t>AI Act (applicable aout 2026) — Risque limite</w:t>
      </w:r>
    </w:p>
    <w:p>
      <w:pPr>
        <w:spacing w:after="160"/>
      </w:pPr>
      <w:r>
        <w:t>TAKA OS est classifie "risque limite" (Article 50). Uniquement des obligations de transparence : badge "Assistant IA — TAKA OS" visible des la 1re interaction, marquage des suggestions generees par IA, disclaimer dans l'interface et les exports.</w:t>
      </w:r>
    </w:p>
    <w:p>
      <w:pPr>
        <w:spacing w:after="160"/>
      </w:pPr>
      <w:r>
        <w:t>Sanction si non-conforme : jusqu'a 7.5 M EUR ou 1% du CA mondial. Mitigation : badge + metadata + footer sur exports. Cout : 2 heures de dev frontend.</w:t>
      </w:r>
    </w:p>
    <w:p>
      <w:pPr>
        <w:pStyle w:val="Heading2"/>
      </w:pPr>
      <w:r>
        <w:t>RGPD — EXCELLENT en mode self-hosted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Donnees sous controle de l'utilisateur (serveur EU)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Zero transfert international (si stack EU + Mistral)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Droit a l'oubli = suppression des vecteurs pgvector (fonction purge a implementer v0.2)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Portabilite = export PostgreSQL natif</w:t>
      </w:r>
    </w:p>
    <w:p>
      <w:pPr>
        <w:pStyle w:val="Heading2"/>
      </w:pPr>
      <w:r>
        <w:t>Marches publics — Aucune interdiction</w:t>
      </w:r>
    </w:p>
    <w:p>
      <w:pPr>
        <w:spacing w:after="160"/>
      </w:pPr>
      <w:r>
        <w:t>Ni la directive EU 2014/24, ni le Code de la commande publique francais, ni la legislation belge n'interdisent l'IA pour preparer une candidature. L'utilisateur reste pleinement responsable du contenu soumis.</w:t>
      </w:r>
    </w:p>
    <w:p>
      <w:pPr>
        <w:pStyle w:val="Heading2"/>
      </w:pPr>
      <w:r>
        <w:t>Ce qui est autorise et protege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Parsing des DCE : LEGAL (TA Caen 2009 : DCE n'est pas une oeuvre de l'esprit)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Stockage/vectorisation des DCE : LEGAL (donnees publiques, licence ouverte)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API BOAMP : LEGAL (licence Etalab v2.0)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Assistance IA a la redaction : LEGAL (outil d'aide, pas de decision automatisee)</w:t>
      </w:r>
    </w:p>
    <w:p>
      <w:pPr>
        <w:pStyle w:val="Heading2"/>
      </w:pPr>
      <w:r>
        <w:t>3 risques juridiques a adresser</w:t>
      </w:r>
    </w:p>
    <w:tbl>
      <w:tblPr>
        <w:tblW w:w="5000" w:type="pct"/>
        <w:tblBorders>
          <w:top w:val="single" w:color="2C3E50" w:sz="12"/>
          <w:bottom w:val="single" w:color="2C3E50" w:sz="12"/>
          <w:insideH w:val="single" w:color="d5d8dc" w:sz="4"/>
        </w:tblBorders>
      </w:tblPr>
      <w:tblGrid>
        <w:gridCol w:w="800"/>
        <w:gridCol w:w="2500"/>
        <w:gridCol w:w="3700"/>
        <w:gridCol w:w="1500"/>
      </w:tblGrid>
      <w:tr>
        <w:trPr>
          <w:tblHeader/>
        </w:trPr>
        <w:tc>
          <w:tcPr>
            <w:tcW w:w="8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Rang</w:t>
            </w:r>
          </w:p>
        </w:tc>
        <w:tc>
          <w:tcPr>
            <w:tcW w:w="25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Risque</w:t>
            </w:r>
          </w:p>
        </w:tc>
        <w:tc>
          <w:tcPr>
            <w:tcW w:w="37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  <w:tc>
          <w:tcPr>
            <w:tcW w:w="15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Delai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1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LLM chinois (Kimi) -&gt; RGPD</w:t>
            </w:r>
          </w:p>
        </w:tc>
        <w:tc>
          <w:tcPr>
            <w:tcW w:w="37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Remplacer par Mistral AI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S1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2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Transparence AI Act Art. 50</w:t>
            </w:r>
          </w:p>
        </w:tc>
        <w:tc>
          <w:tcPr>
            <w:tcW w:w="37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Badge IA + metadata + disclaimer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S4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3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Hallucination LLM</w:t>
            </w:r>
          </w:p>
        </w:tc>
        <w:tc>
          <w:tcPr>
            <w:tcW w:w="37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Checkbox validation humaine + audit trail + clause MIT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S3-S4</w:t>
            </w:r>
          </w:p>
        </w:tc>
      </w:tr>
    </w:tbl>
    <w:p>
      <w:pPr>
        <w:pStyle w:val="Heading1"/>
      </w:pPr>
      <w:r>
        <w:t>Analyse Technique — Architecture Viable (Score 4.2/5)</w:t>
      </w:r>
      <w:bookmarkStart w:name="_Toc007" w:id="8"/>
      <w:bookmarkEnd w:id="8"/>
    </w:p>
    <w:p>
      <w:pPr>
        <w:pStyle w:val="Heading2"/>
      </w:pPr>
      <w:r>
        <w:t>Ce qui marche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FastAPI + SQLAlchemy 2.0 async : stack mature, 10K-18K req/s simple, 200-500 req/s avec vecteurs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pgvector HNSW : parfait a l'echelle MVP (~10K vecteurs/tenant), latence 5-15ms, recall 95%+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EventBus in-memory + persistance DB : suffisant pour &lt;50 users, zero dependance externe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JWT + refresh token rotation : pattern de securite eprouve</w:t>
      </w:r>
    </w:p>
    <w:p>
      <w:pPr>
        <w:spacing w:after="80"/>
        <w:ind w:left="360"/>
      </w:pPr>
      <w:r>
        <w:rPr>
          <w:color w:val="3498DB"/>
        </w:rPr>
        <w:t xml:space="preserve">•  </w:t>
      </w:r>
      <w:r>
        <w:t>1 VPS 6-8 EUR : tient la charge pour 10 clients simultanes</w:t>
      </w:r>
    </w:p>
    <w:p>
      <w:pPr>
        <w:pStyle w:val="Heading2"/>
      </w:pPr>
      <w:r>
        <w:t>Les 3 risques techniques qui tueraient le projet</w:t>
      </w:r>
    </w:p>
    <w:p>
      <w:pPr>
        <w:pStyle w:val="Heading3"/>
      </w:pPr>
      <w:r>
        <w:t>Risque #1 — Parsing PDF des DCE (LE PLUS GROS RISQUE)</w:t>
      </w:r>
    </w:p>
    <w:p>
      <w:pPr>
        <w:spacing w:after="160"/>
      </w:pPr>
      <w:r>
        <w:t>Un DCE public type = 50-300 pages, tableaux complexes, formats variables (PDF texte 60%, PDF scanne 15%, DOCX 15%, ZIP 8%, XML 2%).</w:t>
      </w:r>
    </w:p>
    <w:tbl>
      <w:tblPr>
        <w:tblW w:w="5000" w:type="pct"/>
        <w:tblBorders>
          <w:top w:val="single" w:color="2C3E50" w:sz="12"/>
          <w:bottom w:val="single" w:color="2C3E50" w:sz="12"/>
          <w:insideH w:val="single" w:color="d5d8dc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 de champ</w:t>
            </w:r>
          </w:p>
        </w:tc>
        <w:tc>
          <w:tcPr>
            <w:tcW w:w="30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Taux reussite regles</w:t>
            </w:r>
          </w:p>
        </w:tc>
        <w:tc>
          <w:tcPr>
            <w:tcW w:w="30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Taux reussite regles+LLM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CPV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85-90%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90-95%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Montant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70-80%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85-90%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Deadline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75-85%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90-95%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Criteres d'attribution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50-60%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80-85%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Lots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60-70%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75-80%</w:t>
            </w:r>
          </w:p>
        </w:tc>
      </w:tr>
    </w:tbl>
    <w:p>
      <w:pPr>
        <w:spacing w:after="160"/>
      </w:pPr>
      <w:r>
        <w:t>Mitigation : Pipeline stratifie — pypdf -&gt; pdfplumber -&gt; OCR fallback. Traitement asynchrone (background task). Saisie manuelle possible quand tout echoue. Objectif MVP : &gt;80% de taux de reussite sur CPV + montant + deadline.</w:t>
      </w:r>
    </w:p>
    <w:p>
      <w:pPr>
        <w:pStyle w:val="Heading3"/>
      </w:pPr>
      <w:r>
        <w:t>Risque #2 — Appels LLM sans protection</w:t>
      </w:r>
    </w:p>
    <w:p>
      <w:pPr>
        <w:spacing w:after="160"/>
      </w:pPr>
      <w:r>
        <w:t>Sans circuit breaker, un timeout LLM = API bloquee = utilisateur qui part. Sans retry exponentiel, un 502 temporaire = erreur brute exposee.</w:t>
      </w:r>
    </w:p>
    <w:p>
      <w:pPr>
        <w:spacing w:after="160"/>
      </w:pPr>
      <w:r>
        <w:t>Mitigation : tenacity (retry 3x exponentiel) + CircuitBreaker (5 failures -&gt; OPEN 60s) + fallback scoring regles immediat.</w:t>
      </w:r>
    </w:p>
    <w:p>
      <w:pPr>
        <w:pStyle w:val="Heading3"/>
      </w:pPr>
      <w:r>
        <w:t>Risque #3 — Sessions async SQLAlchemy (le tueur de NEXA-MIND)</w:t>
      </w:r>
    </w:p>
    <w:p>
      <w:pPr>
        <w:spacing w:after="160"/>
      </w:pPr>
      <w:r>
        <w:t>expire_on_commit=False OBLIGATOIRE. Pool size = 5 max sur VPS 4GB. pool_pre_ping=True pour eviter les connexions zombies. Alembic via sync_engine.</w:t>
      </w:r>
    </w:p>
    <w:p>
      <w:pPr>
        <w:pStyle w:val="Heading1"/>
      </w:pPr>
      <w:r>
        <w:t>Stack Technique Verrouillee</w:t>
      </w:r>
      <w:bookmarkStart w:name="_Toc008" w:id="9"/>
      <w:bookmarkEnd w:id="9"/>
    </w:p>
    <w:tbl>
      <w:tblPr>
        <w:tblW w:w="5000" w:type="pct"/>
        <w:tblBorders>
          <w:top w:val="single" w:color="2C3E50" w:sz="12"/>
          <w:bottom w:val="single" w:color="2C3E50" w:sz="12"/>
          <w:insideH w:val="single" w:color="d5d8dc" w:sz="4"/>
        </w:tblBorders>
      </w:tblPr>
      <w:tblGrid>
        <w:gridCol w:w="2000"/>
        <w:gridCol w:w="3000"/>
        <w:gridCol w:w="3500"/>
      </w:tblGrid>
      <w:tr>
        <w:trPr>
          <w:tblHeader/>
        </w:trPr>
        <w:tc>
          <w:tcPr>
            <w:tcW w:w="20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Couche</w:t>
            </w:r>
          </w:p>
        </w:tc>
        <w:tc>
          <w:tcPr>
            <w:tcW w:w="30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Outil</w:t>
            </w:r>
          </w:p>
        </w:tc>
        <w:tc>
          <w:tcPr>
            <w:tcW w:w="35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Alternative exclue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Langage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Python 3.12 (LTS)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Python 3.14 (NEVER)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Framework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FastAPI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Django, Flask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ORM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SQLAlchemy 2.0 async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SQLAlchemy 1.x (NEVER)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Base de donnees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PostgreSQL 15 + pgvector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Qdrant, Redis, Neo4j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Index vectoriel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HNSW (pgvector)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IVFFlat (moins bon recall)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LLM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Mistral AI API (France)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Kimi API (Chine, NEVER)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Appels LLM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httpx + Jinja2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LangChain, CrewAI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Parsing PDF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pypdf + pdfplumber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PyMuPDF (AGPL, risque)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Auth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python-jose + passlib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Auth0 (cout)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EventBus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asyncio natif + DB outbox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Redis, RabbitMQ, NATS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Front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React + Vite + Tailwind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Next.js (trop lourd)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Test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pytest + pytest-asyncio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unittest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Lint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ruff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black + isort + flake8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Package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poetry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pip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Deploiement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Docker compose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Kubernetes (overkill)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Infra</w:t>
            </w:r>
          </w:p>
        </w:tc>
        <w:tc>
          <w:tcPr>
            <w:tcW w:w="3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VPS Hetzner 6-8 EUR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AWS/GCP (couts)</w:t>
            </w:r>
          </w:p>
        </w:tc>
      </w:tr>
    </w:tbl>
    <w:p>
      <w:pPr>
        <w:pStyle w:val="Heading1"/>
      </w:pPr>
      <w:r>
        <w:t>Modele Economique "Smart &amp; Cheap"</w:t>
      </w:r>
      <w:bookmarkStart w:name="_Toc009" w:id="10"/>
      <w:bookmarkEnd w:id="10"/>
    </w:p>
    <w:p>
      <w:pPr>
        <w:pStyle w:val="Heading2"/>
      </w:pPr>
      <w:r>
        <w:t>Couts d'infrastructure (par client)</w:t>
      </w:r>
    </w:p>
    <w:tbl>
      <w:tblPr>
        <w:tblW w:w="5000" w:type="pct"/>
        <w:tblBorders>
          <w:top w:val="single" w:color="2C3E50" w:sz="12"/>
          <w:bottom w:val="single" w:color="2C3E50" w:sz="12"/>
          <w:insideH w:val="single" w:color="d5d8dc" w:sz="4"/>
        </w:tblBorders>
      </w:tblPr>
      <w:tblGrid>
        <w:gridCol w:w="5500"/>
        <w:gridCol w:w="3500"/>
      </w:tblGrid>
      <w:tr>
        <w:trPr>
          <w:tblHeader/>
        </w:trPr>
        <w:tc>
          <w:tcPr>
            <w:tcW w:w="55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Poste</w:t>
            </w:r>
          </w:p>
        </w:tc>
        <w:tc>
          <w:tcPr>
            <w:tcW w:w="35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Cout mensuel</w:t>
            </w:r>
          </w:p>
        </w:tc>
      </w:tr>
      <w:tr>
        <w:tc>
          <w:tcPr>
            <w:tcW w:w="5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VPS Hetzner CX31 (4vCPU, 8GB, 10 clients)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8.50 EUR</w:t>
            </w:r>
          </w:p>
        </w:tc>
      </w:tr>
      <w:tr>
        <w:tc>
          <w:tcPr>
            <w:tcW w:w="5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PostgreSQL self-hosted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0 EUR</w:t>
            </w:r>
          </w:p>
        </w:tc>
      </w:tr>
      <w:tr>
        <w:tc>
          <w:tcPr>
            <w:tcW w:w="5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Backup Hetzner Storage Box 100GB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3 EUR</w:t>
            </w:r>
          </w:p>
        </w:tc>
      </w:tr>
      <w:tr>
        <w:tc>
          <w:tcPr>
            <w:tcW w:w="5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API Mistral (~500 appels/client)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~8 EUR/client</w:t>
            </w:r>
          </w:p>
        </w:tc>
      </w:tr>
      <w:tr>
        <w:tc>
          <w:tcPr>
            <w:tcW w:w="5500" w:type="dx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2C3E50"/>
                <w:sz w:val="20"/>
              </w:rPr>
              <w:t>Total par client</w:t>
            </w:r>
          </w:p>
        </w:tc>
        <w:tc>
          <w:tcPr>
            <w:tcW w:w="3500" w:type="dxa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2C3E50"/>
                <w:sz w:val="20"/>
              </w:rPr>
              <w:t>~10-11 EUR</w:t>
            </w:r>
          </w:p>
        </w:tc>
      </w:tr>
    </w:tbl>
    <w:p>
      <w:pPr>
        <w:pStyle w:val="Heading2"/>
      </w:pPr>
      <w:r>
        <w:t>Prix de vente</w:t>
      </w:r>
    </w:p>
    <w:tbl>
      <w:tblPr>
        <w:tblW w:w="5000" w:type="pct"/>
        <w:tblBorders>
          <w:top w:val="single" w:color="2C3E50" w:sz="12"/>
          <w:bottom w:val="single" w:color="2C3E50" w:sz="12"/>
          <w:insideH w:val="single" w:color="d5d8dc" w:sz="4"/>
        </w:tblBorders>
      </w:tblPr>
      <w:tblGrid>
        <w:gridCol w:w="1500"/>
        <w:gridCol w:w="1500"/>
        <w:gridCol w:w="3500"/>
        <w:gridCol w:w="2000"/>
      </w:tblGrid>
      <w:tr>
        <w:trPr>
          <w:tblHeader/>
        </w:trPr>
        <w:tc>
          <w:tcPr>
            <w:tcW w:w="15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  <w:tc>
          <w:tcPr>
            <w:tcW w:w="15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Prix</w:t>
            </w:r>
          </w:p>
        </w:tc>
        <w:tc>
          <w:tcPr>
            <w:tcW w:w="35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Ce qui est inclus</w:t>
            </w:r>
          </w:p>
        </w:tc>
        <w:tc>
          <w:tcPr>
            <w:tcW w:w="20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Marge estimee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Solo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49 EUR/mois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1 user, 20 AO/mois, parsing basique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~35 EUR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Pro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149 EUR/mois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3 users, 100 AO/mois, pgvector actif, similarite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~125 EUR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Enterprise</w:t>
            </w:r>
          </w:p>
        </w:tc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499 EUR/mois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Illimite, on-premise, support, API</w:t>
            </w:r>
          </w:p>
        </w:tc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~450 EUR</w:t>
            </w:r>
          </w:p>
        </w:tc>
      </w:tr>
    </w:tbl>
    <w:p>
      <w:pPr>
        <w:spacing w:before="120" w:after="160"/>
      </w:pPr>
      <w:r>
        <w:rPr>
          <w:b/>
          <w:color w:val="2C3E50"/>
        </w:rPr>
        <w:t>Seuil de rentabilite : 3 clients Pro = 447 EUR de revenu, ~33 EUR de cout = 414 EUR de marge nette. Tu es rentable des le 3eme client.</w:t>
      </w:r>
    </w:p>
    <w:p>
      <w:pPr>
        <w:pStyle w:val="Heading1"/>
      </w:pPr>
      <w:r>
        <w:t>Feuille de Route si GO</w:t>
      </w:r>
      <w:bookmarkStart w:name="_Toc010" w:id="11"/>
      <w:bookmarkEnd w:id="11"/>
    </w:p>
    <w:tbl>
      <w:tblPr>
        <w:tblW w:w="5000" w:type="pct"/>
        <w:tblBorders>
          <w:top w:val="single" w:color="2C3E50" w:sz="12"/>
          <w:bottom w:val="single" w:color="2C3E50" w:sz="12"/>
          <w:insideH w:val="single" w:color="d5d8dc" w:sz="4"/>
        </w:tblBorders>
      </w:tblPr>
      <w:tblGrid>
        <w:gridCol w:w="1500"/>
        <w:gridCol w:w="4500"/>
        <w:gridCol w:w="2500"/>
      </w:tblGrid>
      <w:tr>
        <w:trPr>
          <w:tblHeader/>
        </w:trPr>
        <w:tc>
          <w:tcPr>
            <w:tcW w:w="15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Jour</w:t>
            </w:r>
          </w:p>
        </w:tc>
        <w:tc>
          <w:tcPr>
            <w:tcW w:w="45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w="25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J0</w:t>
            </w:r>
          </w:p>
        </w:tc>
        <w:tc>
          <w:tcPr>
            <w:tcW w:w="4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Creer le repo GitHub taka-os ou taka-ao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CEO (toi)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J0</w:t>
            </w:r>
          </w:p>
        </w:tc>
        <w:tc>
          <w:tcPr>
            <w:tcW w:w="4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Ouvrir Issue #1 "Sprint 0 — Fondation" avec le prompt complet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CEO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J0</w:t>
            </w:r>
          </w:p>
        </w:tc>
        <w:tc>
          <w:tcPr>
            <w:tcW w:w="4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Configurer .env avec API Mistral (pas Kimi)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CEO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J1-J2</w:t>
            </w:r>
          </w:p>
        </w:tc>
        <w:tc>
          <w:tcPr>
            <w:tcW w:w="4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Copier le prompt Sprint 0 dans Kimi Code, iterer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CEO + Kimi Code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J3</w:t>
            </w:r>
          </w:p>
        </w:tc>
        <w:tc>
          <w:tcPr>
            <w:tcW w:w="4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Audit CTO : review du code produit, checklist 3 risques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CTO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J3-J4</w:t>
            </w:r>
          </w:p>
        </w:tc>
        <w:tc>
          <w:tcPr>
            <w:tcW w:w="4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Corrections + merge sur main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CEO + Kimi Code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J5</w:t>
            </w:r>
          </w:p>
        </w:tc>
        <w:tc>
          <w:tcPr>
            <w:tcW w:w="4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Debut Sprint 1 (Sensorimotrice + Memoire)</w:t>
            </w:r>
          </w:p>
        </w:tc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CEO + Kimi Code</w:t>
            </w:r>
          </w:p>
        </w:tc>
      </w:tr>
    </w:tbl>
    <w:p>
      <w:pPr>
        <w:pStyle w:val="Heading1"/>
      </w:pPr>
      <w:r>
        <w:t>Decision Exigee du CEO</w:t>
      </w:r>
      <w:bookmarkStart w:name="_Toc011" w:id="12"/>
      <w:bookmarkEnd w:id="12"/>
    </w:p>
    <w:p>
      <w:pPr>
        <w:spacing w:after="160"/>
      </w:pPr>
      <w:r>
        <w:t>Reponds par OUI ou NON a chaque point. Si un seul NON, on discute avant de coder.</w:t>
      </w:r>
    </w:p>
    <w:tbl>
      <w:tblPr>
        <w:tblW w:w="5000" w:type="pct"/>
        <w:tblBorders>
          <w:top w:val="single" w:color="2C3E50" w:sz="12"/>
          <w:bottom w:val="single" w:color="2C3E50" w:sz="12"/>
          <w:insideH w:val="single" w:color="d5d8dc" w:sz="4"/>
        </w:tblBorders>
      </w:tblPr>
      <w:tblGrid>
        <w:gridCol w:w="600"/>
        <w:gridCol w:w="4400"/>
        <w:gridCol w:w="3500"/>
      </w:tblGrid>
      <w:tr>
        <w:trPr>
          <w:tblHeader/>
        </w:trPr>
        <w:tc>
          <w:tcPr>
            <w:tcW w:w="6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44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w="3500" w:type="dxa"/>
            <w:shd w:val="clear" w:fill="2C3E5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Recommandation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1</w:t>
            </w:r>
          </w:p>
        </w:tc>
        <w:tc>
          <w:tcPr>
            <w:tcW w:w="44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Remplacer Kimi API par Mistral AI des le Sprint 0 ?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OUI obligatoire (risque RGPD)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2</w:t>
            </w:r>
          </w:p>
        </w:tc>
        <w:tc>
          <w:tcPr>
            <w:tcW w:w="44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Valider le decoupage 4 semaines et les exclusions v0.1 ?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OUI recommande (eviter sur-ingenierie)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3</w:t>
            </w:r>
          </w:p>
        </w:tc>
        <w:tc>
          <w:tcPr>
            <w:tcW w:w="44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Accepter les 3 decisions techniques non-negociables ?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OUI obligatoire (eviter echec NEXA-MIND)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4</w:t>
            </w:r>
          </w:p>
        </w:tc>
        <w:tc>
          <w:tcPr>
            <w:tcW w:w="44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Cibler les PME du BTP et services en priorite ?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OUI recommande (46% des marches, sensibles au prix)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5</w:t>
            </w:r>
          </w:p>
        </w:tc>
        <w:tc>
          <w:tcPr>
            <w:tcW w:w="44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Prix d'entree a 49 EUR/mois pour le plan Solo ?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34495E"/>
                <w:sz w:val="20"/>
              </w:rPr>
              <w:t>OUI recommande (capturer le marche Excel)</w:t>
            </w:r>
          </w:p>
        </w:tc>
      </w:tr>
    </w:tbl>
    <w:p>
      <w:pPr>
        <w:spacing w:before="120" w:after="160"/>
      </w:pPr>
      <w:r>
        <w:rPr>
          <w:b/>
          <w:color w:val="2C3E50"/>
        </w:rPr>
        <w:t>Si 5 OUI -&gt; GO immediat. J'envoie le prompt finalise pour Kimi Code et on commence demain.</w:t>
      </w:r>
    </w:p>
    <w:p>
      <w:pPr>
        <w:spacing w:after="160"/>
      </w:pPr>
      <w:r>
        <w:t>Si 1-2 NON -&gt; On ajuste le concept, pas de probleme. Mieux vaut 2 jours de discussion qu'un echec de 3 mois.</w:t>
      </w:r>
    </w:p>
    <w:p>
      <w:pPr>
        <w:spacing w:after="160"/>
      </w:pPr>
      <w:r>
        <w:t>Si 3+ NON -&gt; Le projet dans sa forme actuelle n'est pas viable. Il faut reprendre la conception.</w:t>
      </w:r>
    </w:p>
    <w:p>
      <w:pPr>
        <w:sectPr>
          <w:headerReference w:type="default" r:id="R9e0d7b55a8d74b25"/>
          <w:footerReference w:type="default" r:id="R68cca25ef8da4e7c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3e6591efc2d74c3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00"/>
        <w:jc w:val="center"/>
      </w:pPr>
      <w:r>
        <w:rPr>
          <w:b/>
          <w:color w:val="ffffff"/>
          <w:sz w:val="56"/>
        </w:rPr>
        <w:t>TAKA OS</w:t>
      </w:r>
    </w:p>
    <w:p>
      <w:pPr>
        <w:spacing w:before="400"/>
        <w:jc w:val="center"/>
      </w:pPr>
      <w:r>
        <w:rPr>
          <w:color w:val="ffffff"/>
          <w:sz w:val="28"/>
        </w:rPr>
        <w:t>L'OS Agentic Open Source</w:t>
      </w:r>
    </w:p>
    <w:p>
      <w:pPr>
        <w:spacing w:before="200"/>
        <w:jc w:val="center"/>
      </w:pPr>
      <w:r>
        <w:rPr>
          <w:color w:val="3498DB"/>
          <w:sz w:val="20"/>
        </w:rPr>
        <w:t>______________________________</w:t>
      </w:r>
    </w:p>
    <w:p>
      <w:pPr>
        <w:spacing w:before="600"/>
        <w:jc w:val="center"/>
      </w:pPr>
      <w:r>
        <w:rPr>
          <w:color w:val="d5d8dc"/>
          <w:sz w:val="20"/>
        </w:rPr>
        <w:t>Document produit par le CTO  |  Mai 2026</w:t>
      </w:r>
    </w:p>
    <w:p>
      <w:pPr>
        <w:spacing w:before="200"/>
        <w:jc w:val="center"/>
      </w:pPr>
      <w:r>
        <w:rPr>
          <w:color w:val="d5d8dc"/>
          <w:sz w:val="16"/>
        </w:rPr>
        <w:t>Synthese de 3 audits paralleles (concurrence, reglementation, technique)</w:t>
      </w:r>
    </w:p>
    <w:p>
      <w:pPr>
        <w:spacing w:before="200"/>
        <w:jc w:val="center"/>
      </w:pPr>
      <w:r>
        <w:rPr>
          <w:color w:val="d5d8dc"/>
          <w:sz w:val="16"/>
        </w:rPr>
        <w:t>CONFIDENTIEL — Usage interne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F8C8D"/>
        <w:sz w:val="18"/>
      </w:rPr>
      <w:t xml:space="preserve">Page </w:t>
    </w:r>
    <w:r>
      <w:rPr>
        <w:color w:val="7F8C8D"/>
        <w:sz w:val="18"/>
      </w:rPr>
      <w:fldChar w:fldCharType="begin"/>
    </w:r>
    <w:r>
      <w:rPr>
        <w:color w:val="7F8C8D"/>
        <w:sz w:val="18"/>
      </w:rPr>
      <w:instrText xml:space="preserve"> PAGE </w:instrText>
    </w:r>
    <w:r>
      <w:rPr>
        <w:color w:val="7F8C8D"/>
        <w:sz w:val="18"/>
      </w:rPr>
      <w:fldChar w:fldCharType="separate"/>
    </w:r>
    <w:r>
      <w:rPr>
        <w:color w:val="7F8C8D"/>
        <w:sz w:val="18"/>
      </w:rPr>
      <w:t>1</w:t>
    </w:r>
    <w:r>
      <w:rPr>
        <w:color w:val="7F8C8D"/>
        <w:sz w:val="18"/>
      </w:rPr>
      <w:fldChar w:fldCharType="end"/>
    </w:r>
    <w:r>
      <w:rPr>
        <w:color w:val="7F8C8D"/>
        <w:sz w:val="18"/>
      </w:rPr>
      <w:t xml:space="preserve"> / </w:t>
    </w:r>
    <w:r>
      <w:rPr>
        <w:color w:val="7F8C8D"/>
        <w:sz w:val="18"/>
      </w:rPr>
      <w:fldChar w:fldCharType="begin"/>
    </w:r>
    <w:r>
      <w:rPr>
        <w:color w:val="7F8C8D"/>
        <w:sz w:val="18"/>
      </w:rPr>
      <w:instrText xml:space="preserve"> NUMPAGES </w:instrText>
    </w:r>
    <w:r>
      <w:rPr>
        <w:color w:val="7F8C8D"/>
        <w:sz w:val="18"/>
      </w:rPr>
      <w:fldChar w:fldCharType="separate"/>
    </w:r>
    <w:r>
      <w:rPr>
        <w:color w:val="7F8C8D"/>
        <w:sz w:val="18"/>
      </w:rPr>
      <w:t>1</w:t>
    </w:r>
    <w:r>
      <w:rPr>
        <w:color w:val="7F8C8D"/>
        <w:sz w:val="18"/>
      </w:rPr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g.png"/>
                  <pic:cNvPicPr/>
                </pic:nvPicPr>
                <pic:blipFill>
                  <a:blip r:embed="R84ac0b6b095b46c0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7F8C8D"/>
        <w:sz w:val="18"/>
      </w:rPr>
      <w:t>TAKA OS — Revue CTO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76" w:lineRule="auto"/>
    </w:pPr>
    <w:rPr>
      <w:rFonts w:ascii="Calibri" w:hAnsi="Calibri" w:eastAsia="Calibri"/>
      <w:color w:val="34495E"/>
      <w:sz w:val="22"/>
    </w:rPr>
  </w:style>
  <w:style w:type="paragraph" w:styleId="Heading1">
    <w:name w:val="heading 1"/>
    <w:basedOn w:val="Normal"/>
    <w:pPr>
      <w:keepNext/>
      <w:keepLines/>
      <w:spacing w:before="480" w:after="240"/>
      <w:outlineLvl w:val="0"/>
    </w:pPr>
    <w:rPr>
      <w:rFonts w:ascii="Calibri" w:hAnsi="Calibri" w:eastAsia="Calibri"/>
      <w:b/>
      <w:color w:val="2C3E50"/>
      <w:sz w:val="5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rFonts w:ascii="Calibri" w:hAnsi="Calibri" w:eastAsia="Calibri"/>
      <w:b/>
      <w:color w:val="34495E"/>
      <w:sz w:val="44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rFonts w:ascii="Calibri" w:hAnsi="Calibri" w:eastAsia="Calibri"/>
      <w:b/>
      <w:color w:val="5D6D7E"/>
      <w:sz w:val="32"/>
    </w:rPr>
  </w:style>
  <w:style w:type="paragraph" w:styleId="Caption">
    <w:name w:val="Caption"/>
    <w:basedOn w:val="Normal"/>
    <w:pPr>
      <w:spacing w:before="60" w:after="320"/>
      <w:jc w:val="center"/>
    </w:pPr>
    <w:rPr>
      <w:color w:val="7F8C8D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/>
    </w:pPr>
    <w:rPr>
      <w:b/>
      <w:color w:val="34495E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5D6D7E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/>
    </w:pPr>
    <w:rPr>
      <w:color w:val="5D6D7E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2ac0160d5f5d457b" /><Relationship Type="http://schemas.openxmlformats.org/officeDocument/2006/relationships/numbering" Target="numbering.xml" Id="Readb3d1e81224664" /><Relationship Type="http://schemas.openxmlformats.org/officeDocument/2006/relationships/image" Target="media/image.png" Id="Rd5666efbdbcc4717" /><Relationship Type="http://schemas.openxmlformats.org/officeDocument/2006/relationships/image" Target="media/image2.png" Id="R3e6591efc2d74c33" /><Relationship Type="http://schemas.openxmlformats.org/officeDocument/2006/relationships/header" Target="header1.xml" Id="R9e0d7b55a8d74b25" /><Relationship Type="http://schemas.openxmlformats.org/officeDocument/2006/relationships/footer" Target="footer1.xml" Id="R68cca25ef8da4e7c" /><Relationship Type="http://schemas.openxmlformats.org/officeDocument/2006/relationships/settings" Target="settings.xml" Id="R940e2bafedb64013" /></Relationships>
</file>

<file path=word/_rels/header1.xml.rels><?xml version='1.0' encoding='UTF-8'?>
<Relationships xmlns="http://schemas.openxmlformats.org/package/2006/relationships"><Relationship Type="http://schemas.openxmlformats.org/officeDocument/2006/relationships/image" Target="media/image3.png" Id="R84ac0b6b095b46c0" /></Relationships>
</file>