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df" ContentType="application/pdf"/>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Cs/>
          <w:b/>
        </w:rPr>
        <w:t xml:space="preserve">Socio-demographic</w:t>
      </w:r>
      <w:r>
        <w:rPr>
          <w:bCs/>
          <w:b/>
        </w:rPr>
        <w:t xml:space="preserve"> </w:t>
      </w:r>
      <w:r>
        <w:rPr>
          <w:bCs/>
          <w:b/>
        </w:rPr>
        <w:t xml:space="preserve">determinants</w:t>
      </w:r>
      <w:r>
        <w:rPr>
          <w:bCs/>
          <w:b/>
        </w:rPr>
        <w:t xml:space="preserve"> </w:t>
      </w:r>
      <w:r>
        <w:rPr>
          <w:bCs/>
          <w:b/>
        </w:rPr>
        <w:t xml:space="preserve">of</w:t>
      </w:r>
      <w:r>
        <w:rPr>
          <w:bCs/>
          <w:b/>
        </w:rPr>
        <w:t xml:space="preserve"> </w:t>
      </w:r>
      <w:r>
        <w:rPr>
          <w:bCs/>
          <w:b/>
        </w:rPr>
        <w:t xml:space="preserve">COVID-19</w:t>
      </w:r>
      <w:r>
        <w:rPr>
          <w:bCs/>
          <w:b/>
        </w:rPr>
        <w:t xml:space="preserve"> </w:t>
      </w:r>
      <w:r>
        <w:rPr>
          <w:bCs/>
          <w:b/>
        </w:rPr>
        <w:t xml:space="preserve">vaccine</w:t>
      </w:r>
      <w:r>
        <w:rPr>
          <w:bCs/>
          <w:b/>
        </w:rPr>
        <w:t xml:space="preserve"> </w:t>
      </w:r>
      <w:r>
        <w:rPr>
          <w:bCs/>
          <w:b/>
        </w:rPr>
        <w:t xml:space="preserve">uptake</w:t>
      </w:r>
      <w:r>
        <w:rPr>
          <w:bCs/>
          <w:b/>
        </w:rPr>
        <w:t xml:space="preserve"> </w:t>
      </w:r>
      <w:r>
        <w:rPr>
          <w:bCs/>
          <w:b/>
        </w:rPr>
        <w:t xml:space="preserve">in</w:t>
      </w:r>
      <w:r>
        <w:rPr>
          <w:bCs/>
          <w:b/>
        </w:rPr>
        <w:t xml:space="preserve"> </w:t>
      </w:r>
      <w:r>
        <w:rPr>
          <w:bCs/>
          <w:b/>
        </w:rPr>
        <w:t xml:space="preserve">Ontario:</w:t>
      </w:r>
      <w:r>
        <w:rPr>
          <w:bCs/>
          <w:b/>
        </w:rPr>
        <w:t xml:space="preserve"> </w:t>
      </w:r>
      <w:r>
        <w:rPr>
          <w:bCs/>
          <w:b/>
        </w:rPr>
        <w:t xml:space="preserve">Exploring</w:t>
      </w:r>
      <w:r>
        <w:rPr>
          <w:bCs/>
          <w:b/>
        </w:rPr>
        <w:t xml:space="preserve"> </w:t>
      </w:r>
      <w:r>
        <w:rPr>
          <w:bCs/>
          <w:b/>
        </w:rPr>
        <w:t xml:space="preserve">differences</w:t>
      </w:r>
      <w:r>
        <w:rPr>
          <w:bCs/>
          <w:b/>
        </w:rPr>
        <w:t xml:space="preserve"> </w:t>
      </w:r>
      <w:r>
        <w:rPr>
          <w:bCs/>
          <w:b/>
        </w:rPr>
        <w:t xml:space="preserve">across</w:t>
      </w:r>
      <w:r>
        <w:rPr>
          <w:bCs/>
          <w:b/>
        </w:rPr>
        <w:t xml:space="preserve"> </w:t>
      </w:r>
      <w:r>
        <w:rPr>
          <w:bCs/>
          <w:b/>
        </w:rPr>
        <w:t xml:space="preserve">the</w:t>
      </w:r>
      <w:r>
        <w:rPr>
          <w:bCs/>
          <w:b/>
        </w:rPr>
        <w:t xml:space="preserve"> </w:t>
      </w:r>
      <w:r>
        <w:rPr>
          <w:bCs/>
          <w:b/>
        </w:rPr>
        <w:t xml:space="preserve">Health</w:t>
      </w:r>
      <w:r>
        <w:rPr>
          <w:bCs/>
          <w:b/>
        </w:rPr>
        <w:t xml:space="preserve"> </w:t>
      </w:r>
      <w:r>
        <w:rPr>
          <w:bCs/>
          <w:b/>
        </w:rPr>
        <w:t xml:space="preserve">Region</w:t>
      </w:r>
      <w:r>
        <w:rPr>
          <w:bCs/>
          <w:b/>
        </w:rPr>
        <w:t xml:space="preserve"> </w:t>
      </w:r>
      <w:r>
        <w:rPr>
          <w:bCs/>
          <w:b/>
        </w:rPr>
        <w:t xml:space="preserve">model</w:t>
      </w:r>
    </w:p>
    <w:p>
      <w:pPr>
        <w:pStyle w:val="Author"/>
      </w:pPr>
      <w:r>
        <w:t xml:space="preserve">Ariel</w:t>
      </w:r>
      <w:r>
        <w:t xml:space="preserve"> </w:t>
      </w:r>
      <w:r>
        <w:t xml:space="preserve">Mundo</w:t>
      </w:r>
      <w:r>
        <w:t xml:space="preserve"> </w:t>
      </w:r>
      <w:r>
        <w:t xml:space="preserve">Ortiz</w:t>
      </w:r>
    </w:p>
    <w:p>
      <w:pPr>
        <w:pStyle w:val="Author"/>
      </w:pPr>
      <w:r>
        <w:t xml:space="preserve">Bouchra</w:t>
      </w:r>
      <w:r>
        <w:t xml:space="preserve"> </w:t>
      </w:r>
      <w:r>
        <w:t xml:space="preserve">Nasri</w:t>
      </w:r>
    </w:p>
    <w:bookmarkStart w:id="20" w:name="abstract"/>
    <w:p>
      <w:pPr>
        <w:pStyle w:val="Heading1"/>
      </w:pPr>
      <w:r>
        <w:t xml:space="preserve">Abstract</w:t>
      </w:r>
    </w:p>
    <w:p>
      <w:pPr>
        <w:pStyle w:val="FirstParagraph"/>
      </w:pPr>
      <w:r>
        <w:t xml:space="preserve">The COVID-19 pandemic continues to be a worldwide public health concern. Although vaccines against this disease were rapidly developed, vaccination uptake has not been equal across all the segments of the population. In particular, it has been shown that there have been differences in vaccine uptake across different segments of the population. However, there are also differences in vaccination across geographical areas, which might be important to consider in the development of future public health vaccination policies. In this study, we examined the relationship between vaccination status (having received the first dose of a COVID-19 vaccine), and different socio-economic and geographical factors. Our results show that between October of 2021 and January of 2022, individuals from underrepresented communities were three times less likely to be vaccinated than White/Caucasian individuals across the province of Ontario in Canada, and that in some cases, within these groups, individuals in low-income brackets had significantly higher odds of vaccination when compared to their peers in high income brackets.</w:t>
      </w:r>
      <w:r>
        <w:t xml:space="preserve"> </w:t>
      </w:r>
      <w:r>
        <w:t xml:space="preserve">Finally, we identified significantly lower odds of vaccination in the Central, East and West Health Regions of Ontario within certain underrepresented groups. This study shows that there is an ongoing need to better understand and address differences in vaccination uptake across diverse segments of the population of Ontario that the pandemic has largely impacted.</w:t>
      </w:r>
    </w:p>
    <w:bookmarkEnd w:id="20"/>
    <w:bookmarkStart w:id="21" w:name="keywords"/>
    <w:p>
      <w:pPr>
        <w:pStyle w:val="Heading1"/>
      </w:pPr>
      <w:r>
        <w:t xml:space="preserve">Keywords</w:t>
      </w:r>
    </w:p>
    <w:p>
      <w:pPr>
        <w:pStyle w:val="FirstParagraph"/>
      </w:pPr>
      <w:r>
        <w:t xml:space="preserve">Covid-19, vaccination, survey, socio-economic factors, visible minorities, race and ethnicity</w:t>
      </w:r>
    </w:p>
    <w:bookmarkEnd w:id="21"/>
    <w:bookmarkStart w:id="22" w:name="background"/>
    <w:p>
      <w:pPr>
        <w:pStyle w:val="Heading1"/>
      </w:pPr>
      <w:r>
        <w:t xml:space="preserve">Background</w:t>
      </w:r>
    </w:p>
    <w:p>
      <w:pPr>
        <w:pStyle w:val="FirstParagraph"/>
      </w:pPr>
      <w:r>
        <w:t xml:space="preserve">As of May of 2023, there have been 765 million confirmed cases of COVID-19 around the world, including 6.8 million deaths</w:t>
      </w:r>
      <w:r>
        <w:rPr>
          <w:vertAlign w:val="superscript"/>
        </w:rPr>
        <w:t xml:space="preserve">1</w:t>
      </w:r>
      <w:r>
        <w:t xml:space="preserve">. Although this disease is no longer categorized as a global health emergency by the World Health Organization (WHO)</w:t>
      </w:r>
      <w:r>
        <w:rPr>
          <w:vertAlign w:val="superscript"/>
        </w:rPr>
        <w:t xml:space="preserve">2</w:t>
      </w:r>
      <w:r>
        <w:t xml:space="preserve">, there is ongoing concern due to continued transmission, the possibility of surges in cases and deaths due to new virus variants</w:t>
      </w:r>
      <w:r>
        <w:rPr>
          <w:vertAlign w:val="superscript"/>
        </w:rPr>
        <w:t xml:space="preserve">3</w:t>
      </w:r>
      <w:r>
        <w:t xml:space="preserve">, and ongoing issues in health systems around the world that could be exploited by a novel virus or another public health emergency in the future</w:t>
      </w:r>
      <w:r>
        <w:rPr>
          <w:vertAlign w:val="superscript"/>
        </w:rPr>
        <w:t xml:space="preserve">4</w:t>
      </w:r>
      <w:r>
        <w:t xml:space="preserve">.</w:t>
      </w:r>
    </w:p>
    <w:p>
      <w:pPr>
        <w:pStyle w:val="BodyText"/>
      </w:pPr>
      <w:r>
        <w:t xml:space="preserve">In particular, the pandemic showed multiple challenges with regard to vaccination. The rapid development of vaccines against COVID-19 initially brought the hope of a rapid end to the pandemic as vaccination campaigns in certain parts of the world started as early as December of 2020</w:t>
      </w:r>
      <w:r>
        <w:rPr>
          <w:vertAlign w:val="superscript"/>
        </w:rPr>
        <w:t xml:space="preserve">5–8</w:t>
      </w:r>
      <w:r>
        <w:t xml:space="preserve">. Although it has been estimated that so far COVID-19 vaccines have been able to prevent millions of deaths worldwide</w:t>
      </w:r>
      <w:r>
        <w:rPr>
          <w:vertAlign w:val="superscript"/>
        </w:rPr>
        <w:t xml:space="preserve">9</w:t>
      </w:r>
      <w:r>
        <w:t xml:space="preserve">, their implementation has faced multiple challenges across the world. These challenges included the rapid emergence of new virus variants</w:t>
      </w:r>
      <w:r>
        <w:rPr>
          <w:vertAlign w:val="superscript"/>
        </w:rPr>
        <w:t xml:space="preserve">10</w:t>
      </w:r>
      <w:r>
        <w:t xml:space="preserve">, the waning of vaccine protection</w:t>
      </w:r>
      <w:r>
        <w:rPr>
          <w:vertAlign w:val="superscript"/>
        </w:rPr>
        <w:t xml:space="preserve">11</w:t>
      </w:r>
      <w:r>
        <w:t xml:space="preserve">, inequality in vaccine access between high-income and low-income countries</w:t>
      </w:r>
      <w:r>
        <w:rPr>
          <w:vertAlign w:val="superscript"/>
        </w:rPr>
        <w:t xml:space="preserve">12,13</w:t>
      </w:r>
      <w:r>
        <w:t xml:space="preserve">, vaccine hesitancy</w:t>
      </w:r>
      <w:r>
        <w:rPr>
          <w:vertAlign w:val="superscript"/>
        </w:rPr>
        <w:t xml:space="preserve">14</w:t>
      </w:r>
      <w:r>
        <w:t xml:space="preserve">, and differences in vaccine uptake across the population</w:t>
      </w:r>
      <w:r>
        <w:rPr>
          <w:vertAlign w:val="superscript"/>
        </w:rPr>
        <w:t xml:space="preserve">15,16</w:t>
      </w:r>
      <w:r>
        <w:t xml:space="preserve">. More specifically, it is well established that lower vaccination uptake has been observed in individuals within certain underrepresented groups (e.g., Black, Asian, or Indigenous) as well as individuals with socio-economic disadvantages</w:t>
      </w:r>
      <w:r>
        <w:rPr>
          <w:vertAlign w:val="superscript"/>
        </w:rPr>
        <w:t xml:space="preserve">15–21</w:t>
      </w:r>
      <w:r>
        <w:t xml:space="preserve">.</w:t>
      </w:r>
    </w:p>
    <w:p>
      <w:pPr>
        <w:pStyle w:val="BodyText"/>
      </w:pPr>
      <w:r>
        <w:t xml:space="preserve">Reasons given for this inequality in vaccination uptake have included medical mistrust due to systemic medical racism</w:t>
      </w:r>
      <w:r>
        <w:rPr>
          <w:vertAlign w:val="superscript"/>
        </w:rPr>
        <w:t xml:space="preserve">17,22</w:t>
      </w:r>
      <w:r>
        <w:t xml:space="preserve">, mistrust in vaccines</w:t>
      </w:r>
      <w:r>
        <w:rPr>
          <w:vertAlign w:val="superscript"/>
        </w:rPr>
        <w:t xml:space="preserve">15</w:t>
      </w:r>
      <w:r>
        <w:t xml:space="preserve">, and the existence of health misinformation and disinformation</w:t>
      </w:r>
      <w:r>
        <w:rPr>
          <w:vertAlign w:val="superscript"/>
        </w:rPr>
        <w:t xml:space="preserve">22–24</w:t>
      </w:r>
      <w:r>
        <w:t xml:space="preserve">. However, it is important to consider that vaccination uptake can also vary geographically across the administrative or political subdivisions within a country. For example, differences in COVID-19 vaccination rates have been associated with differences in attitudes towards vaccination in administrative areas in New York and Chicago</w:t>
      </w:r>
      <w:r>
        <w:rPr>
          <w:vertAlign w:val="superscript"/>
        </w:rPr>
        <w:t xml:space="preserve">25</w:t>
      </w:r>
      <w:r>
        <w:t xml:space="preserve">, scarcity of vaccination facilities in areas where underrepresented groups reside in Toronto</w:t>
      </w:r>
      <w:r>
        <w:rPr>
          <w:vertAlign w:val="superscript"/>
        </w:rPr>
        <w:t xml:space="preserve">7</w:t>
      </w:r>
      <w:r>
        <w:t xml:space="preserve">, as well as an absence of prioritization of areas inhabited by vulnerable groups in the southeastern region of the US</w:t>
      </w:r>
      <w:r>
        <w:rPr>
          <w:vertAlign w:val="superscript"/>
        </w:rPr>
        <w:t xml:space="preserve">26</w:t>
      </w:r>
      <w:r>
        <w:t xml:space="preserve">. Other studies have also shown heterogeneity in vaccine uptake within counties in the US</w:t>
      </w:r>
      <w:r>
        <w:rPr>
          <w:vertAlign w:val="superscript"/>
        </w:rPr>
        <w:t xml:space="preserve">27–30</w:t>
      </w:r>
      <w:r>
        <w:t xml:space="preserve">, indicating that accounting for geographical differences in vaccination can help predict patterns of booster uptake in Scottish communities</w:t>
      </w:r>
      <w:r>
        <w:rPr>
          <w:vertAlign w:val="superscript"/>
        </w:rPr>
        <w:t xml:space="preserve">31</w:t>
      </w:r>
      <w:r>
        <w:t xml:space="preserve">. Therefore, the study of vaccination uptake across administrative of political areas can be useful to highlight differences that governments or public health agencies might need to address. However, in the case of Canada, there is a limited amount of studies that have analyzed geographical differences in vaccination. Existing studies in this area have focused on differences within certain cities, such as Toronto</w:t>
      </w:r>
      <w:r>
        <w:rPr>
          <w:vertAlign w:val="superscript"/>
        </w:rPr>
        <w:t xml:space="preserve">32</w:t>
      </w:r>
      <w:r>
        <w:t xml:space="preserve">, or Montréal</w:t>
      </w:r>
      <w:r>
        <w:rPr>
          <w:vertAlign w:val="superscript"/>
        </w:rPr>
        <w:t xml:space="preserve">33</w:t>
      </w:r>
      <w:r>
        <w:t xml:space="preserve">), or have explored differences between provinces-at-large</w:t>
      </w:r>
      <w:r>
        <w:rPr>
          <w:vertAlign w:val="superscript"/>
        </w:rPr>
        <w:t xml:space="preserve">19</w:t>
      </w:r>
      <w:r>
        <w:t xml:space="preserve">, but to our knowledge, there are no studies that analyze differences in vaccination uptake at the intra-provincial level. Such need is specially important in the context of Canada’s pandemic response goals, which have been to minimize serious illness and deaths while minimizing societal disruption</w:t>
      </w:r>
      <w:r>
        <w:rPr>
          <w:vertAlign w:val="superscript"/>
        </w:rPr>
        <w:t xml:space="preserve">34</w:t>
      </w:r>
      <w:r>
        <w:t xml:space="preserve">. Analyzing differences in vaccination uptake within the provinces can aid to identify inequalities that might exist and that need to be addressed before the advent of another pandemic.</w:t>
      </w:r>
    </w:p>
    <w:p>
      <w:pPr>
        <w:pStyle w:val="BodyText"/>
      </w:pPr>
      <w:r>
        <w:t xml:space="preserve">This need is especially important in the case of Ontario, the most populated province of Canada, and which as has a complex healthcare system. Between 2007 and 2019, Ontario managed healthcare access to its inhabitants using 14 intra-provincial divisions called the Local Health Integration Networks (LHINs), which aimed to provide an integrated health system. However, this approach was complex, bureaucratic, resulting in excessive expenditures, disparities in mortality rates, the deterioration of certain performance indicators (such as wait times and hospital readmissions), fragmented electronic health systems, and inequities in health services access</w:t>
      </w:r>
      <w:r>
        <w:rPr>
          <w:vertAlign w:val="superscript"/>
        </w:rPr>
        <w:t xml:space="preserve">35–39</w:t>
      </w:r>
      <w:r>
        <w:t xml:space="preserve">. With the intent of better organizing and delivering care, in late 2019 the provincial government eliminated the LHINs and incorporated the areas covered by them into six larger Health Regions (North East, North West, Central, Toronto, West, and East), which are managed by a new government agency, Ontario Health (OH)</w:t>
      </w:r>
      <w:r>
        <w:rPr>
          <w:vertAlign w:val="superscript"/>
        </w:rPr>
        <w:t xml:space="preserve">37</w:t>
      </w:r>
      <w:r>
        <w:t xml:space="preserve">.</w:t>
      </w:r>
    </w:p>
    <w:p>
      <w:pPr>
        <w:pStyle w:val="BodyText"/>
      </w:pPr>
      <w:r>
        <w:t xml:space="preserve">On the other hand, public health in Ontario is administered by Public Health Ontario (PHO), a government agency established in late 2007 and that is currently composed of 34 Public Health Units (PHUs) that cover the entire geography of the province. Although PHUs were commissioned with leading the distribution of the COVID-19 vaccine within their respective areas</w:t>
      </w:r>
      <w:r>
        <w:rPr>
          <w:vertAlign w:val="superscript"/>
        </w:rPr>
        <w:t xml:space="preserve">40</w:t>
      </w:r>
      <w:r>
        <w:t xml:space="preserve">, the vaccine rollout occurred with significant interaction between PHO and OH; in many instances both agencies had to work together to organize vaccination clinics, with personnel associated with OH also being actively involved when demand exceeded the capacity of PHO personnel, especially in rural areas</w:t>
      </w:r>
      <w:r>
        <w:rPr>
          <w:vertAlign w:val="superscript"/>
        </w:rPr>
        <w:t xml:space="preserve">41</w:t>
      </w:r>
      <w:r>
        <w:t xml:space="preserve">. Indeed, based on the experience of COVID-19, there are ongoing discussions on how OH and PHO will interact in the future, and the challenges that this will entail for the healthcare system of the province</w:t>
      </w:r>
      <w:r>
        <w:rPr>
          <w:vertAlign w:val="superscript"/>
        </w:rPr>
        <w:t xml:space="preserve">42</w:t>
      </w:r>
      <w:r>
        <w:t xml:space="preserve">.</w:t>
      </w:r>
    </w:p>
    <w:p>
      <w:pPr>
        <w:pStyle w:val="BodyText"/>
      </w:pPr>
      <w:r>
        <w:t xml:space="preserve">Therefore, considering the relatively recent adoption of the Health Region model and its alignment with the onset of the COVID-19 pandemic, there is an ongoing need to analyze the existence of geographical disparities in vaccination uptake within the Health Regions and identify the socio-demographic groups that might be affected, as this can serve as an indirect assessment of the state of the implementation of the new model while helping identify ongoing challenges that decision-makers might need to address to ensure the long-term success of this model and its interaction with PHO, which is specially important considering that previous research has highlighted disparities in the level of activity of each Health Region</w:t>
      </w:r>
      <w:r>
        <w:rPr>
          <w:vertAlign w:val="superscript"/>
        </w:rPr>
        <w:t xml:space="preserve">43</w:t>
      </w:r>
      <w:r>
        <w:t xml:space="preserve">.</w:t>
      </w:r>
    </w:p>
    <w:p>
      <w:pPr>
        <w:pStyle w:val="BodyText"/>
      </w:pPr>
      <w:r>
        <w:t xml:space="preserve">Therefore, in this study we wanted to understand if there were differences in COVID-19 vaccination rates among the Health Regions between October 2021 and January of 2022. To contextualize these differences, we included socio-economic factors in our analysis aiming to identify which demographic groups were particularly impacted, in order to provide an assessment of the current state of healthcare access in Ontario.</w:t>
      </w:r>
    </w:p>
    <w:bookmarkEnd w:id="22"/>
    <w:bookmarkStart w:id="29" w:name="methods"/>
    <w:p>
      <w:pPr>
        <w:pStyle w:val="Heading1"/>
      </w:pPr>
      <w:r>
        <w:t xml:space="preserve">Methods</w:t>
      </w:r>
    </w:p>
    <w:bookmarkStart w:id="28" w:name="sec-data"/>
    <w:p>
      <w:pPr>
        <w:pStyle w:val="Heading2"/>
      </w:pPr>
      <w:r>
        <w:t xml:space="preserve">Data and Methods</w:t>
      </w:r>
    </w:p>
    <w:p>
      <w:pPr>
        <w:pStyle w:val="FirstParagraph"/>
      </w:pPr>
      <w:r>
        <w:t xml:space="preserve">We used data from the</w:t>
      </w:r>
      <w:r>
        <w:t xml:space="preserve"> </w:t>
      </w:r>
      <w:r>
        <w:rPr>
          <w:iCs/>
          <w:i/>
        </w:rPr>
        <w:t xml:space="preserve">Survey of COVID-19 related Behaviours and Attitudes</w:t>
      </w:r>
      <w:r>
        <w:t xml:space="preserve">, a repeated cross-sectional survey focused on the Canadian province of Ontario that was commissioned by the Fields Institute for Research in Mathematical Sciences and the Mathematical Modelling of COVID-19 Task Force under ethical guidance from the University of Toronto (under Research Ethics Board approval #40999), and which ran between September 30th, 2021 and January 17th, 2022.</w:t>
      </w:r>
    </w:p>
    <w:p>
      <w:pPr>
        <w:pStyle w:val="BodyText"/>
      </w:pPr>
      <w:r>
        <w:t xml:space="preserve">Briefly, the survey was deployed using Random Domain Intercept Technology (RDIT), a methodology for internet surveys developed by the company commissioned to run the survey (RIWI Corp., Toronto, Canada), and that has been used in the area of public health research to examine trends in vaccination rates</w:t>
      </w:r>
      <w:r>
        <w:rPr>
          <w:vertAlign w:val="superscript"/>
        </w:rPr>
        <w:t xml:space="preserve">44</w:t>
      </w:r>
      <w:r>
        <w:t xml:space="preserve">, ratings of care quality</w:t>
      </w:r>
      <w:r>
        <w:rPr>
          <w:vertAlign w:val="superscript"/>
        </w:rPr>
        <w:t xml:space="preserve">45</w:t>
      </w:r>
      <w:r>
        <w:t xml:space="preserve">, and perceptions of vaccine efficacy</w:t>
      </w:r>
      <w:r>
        <w:rPr>
          <w:vertAlign w:val="superscript"/>
        </w:rPr>
        <w:t xml:space="preserve">46</w:t>
      </w:r>
      <w:r>
        <w:t xml:space="preserve">. In the case of the survey used for this study, internet users whose device meta-data indicated their presence in the province of Ontario had a random chance of being redirected to the survey after they had clicked on a registered but commercially inactive web link, or after they had typed in a web address for a site that was dormant but that was temporarily managed by RIWI. Users then decided whether to anonymously participate in the survey, and those that participated were able to exit the survey at any time. After the survey closed, regardless if it was complete or incomplete, access was denied to any further users with the same internet protocol address (IP), effectively allowing each user only one opportunity to participate in the survey. Users who indicated they were under the age of 16 were exited from the survey without creating a record. Finally, the personal identifier information from each user that participated in the survey was automatically scrubbed and replaced by a unique ID.</w:t>
      </w:r>
    </w:p>
    <w:p>
      <w:pPr>
        <w:pStyle w:val="BodyText"/>
      </w:pPr>
      <w:r>
        <w:t xml:space="preserve">Survey users entered their socio-economic information (age, income, and racial/ethnic group), and were asked information on vaccination status by using the question</w:t>
      </w:r>
      <w:r>
        <w:t xml:space="preserve"> </w:t>
      </w:r>
      <w:r>
        <w:t xml:space="preserve">“</w:t>
      </w:r>
      <w:r>
        <w:t xml:space="preserve">Have you received the first dose of the COVID vaccine?</w:t>
      </w:r>
      <w:r>
        <w:t xml:space="preserve">”</w:t>
      </w:r>
      <w:r>
        <w:t xml:space="preserve">, with possible answers</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w:t>
      </w:r>
      <w:r>
        <w:rPr>
          <w:bCs/>
          <w:b/>
        </w:rPr>
        <w:t xml:space="preserve">?@tbl-descriptive-stats</w:t>
      </w:r>
      <w:r>
        <w:t xml:space="preserve">). Of notice, the racial/ethnic and socio-economic categories from the survey did not match exactly the categories from the 2016 Census (e.g., the categories</w:t>
      </w:r>
      <w:r>
        <w:t xml:space="preserve"> </w:t>
      </w:r>
      <w:r>
        <w:t xml:space="preserve">“</w:t>
      </w:r>
      <w:r>
        <w:t xml:space="preserve">East Asian/Pacific Islander</w:t>
      </w:r>
      <w:r>
        <w:t xml:space="preserve">”</w:t>
      </w:r>
      <w:r>
        <w:t xml:space="preserve"> </w:t>
      </w:r>
      <w:r>
        <w:t xml:space="preserve">as well as the income bracket</w:t>
      </w:r>
      <w:r>
        <w:t xml:space="preserve"> </w:t>
      </w:r>
      <w:r>
        <w:t xml:space="preserve">“</w:t>
      </w:r>
      <w:r>
        <w:t xml:space="preserve">over CAD 110,000</w:t>
      </w:r>
      <w:r>
        <w:t xml:space="preserve">”</w:t>
      </w:r>
      <w:r>
        <w:t xml:space="preserve"> </w:t>
      </w:r>
      <w:r>
        <w:t xml:space="preserve">do not exist in the Census data). Therefore, we used a combination of sources to re-group certain categories and socio-economic strata in order to obtain estimates from the Census that could be used to correct the data. Further details can be found in the Appendix.</w:t>
      </w:r>
    </w:p>
    <w:p>
      <w:pPr>
        <w:pStyle w:val="BodyText"/>
      </w:pPr>
      <w:r>
        <w:t xml:space="preserve">Additionally, the survey automatically collected the geographical location of the respondent (using the nearest municipality, as shown in</w:t>
      </w:r>
      <w:r>
        <w:t xml:space="preserve"> </w:t>
      </w:r>
      <w:hyperlink w:anchor="fig-map">
        <w:r>
          <w:rPr>
            <w:rStyle w:val="Hyperlink"/>
          </w:rPr>
          <w:t xml:space="preserve">Figure 1</w:t>
        </w:r>
      </w:hyperlink>
      <w:r>
        <w:t xml:space="preserve">), and the date of access to the survey. The original dataset contained 39,029 observations. However, the number of complete observations was much lower than the total number of observations due to the survey design, which allowed respondents to exit at any time and deployed the questions randomly. We selected the observations with complete answers (6,343 observations, or 16.25% of the total) for our analysis. It should be noted that this response rate is similar to response rates observed in previous studies that have used the same type of survey instrument, with response rates between 15% and 22%</w:t>
      </w:r>
      <w:r>
        <w:rPr>
          <w:vertAlign w:val="superscript"/>
        </w:rPr>
        <w:t xml:space="preserve">45,46</w:t>
      </w:r>
      <w:r>
        <w:t xml:space="preserve">. Next, we matched the city of each observation with its corresponding LHIN and Health Region, and removed observations from areas with low representation (254 observations corresponding to the North West and North East Health Regions). After all the preliminary analyses, the total number of observations used for analysis was 6,236 and included the East, Central, Toronto, and West Health Regions covering between October 1st, 2021 and January 17, 2022. The original dataset, clean dataset, and details on the data cleaning process, and data preparation are described in detail in the</w:t>
      </w:r>
      <w:r>
        <w:t xml:space="preserve"> </w:t>
      </w:r>
      <w:hyperlink r:id="rId23">
        <w:r>
          <w:rPr>
            <w:rStyle w:val="Hyperlink"/>
          </w:rPr>
          <w:t xml:space="preserve">GitHub repository</w:t>
        </w:r>
      </w:hyperlink>
      <w:r>
        <w:t xml:space="preserve"> </w:t>
      </w:r>
      <w:r>
        <w:t xml:space="preserve">for this paper.</w:t>
      </w:r>
    </w:p>
    <w:tbl>
      <w:tblPr>
        <w:tblStyle w:val="Table"/>
        <w:tblW w:type="pct" w:w="5000"/>
        <w:tblLook w:firstRow="0" w:lastRow="0" w:firstColumn="0" w:lastColumn="0" w:noHBand="0" w:noVBand="0" w:val="0000"/>
        <w:jc w:val="start"/>
      </w:tblPr>
      <w:tblGrid>
        <w:gridCol w:w="7920"/>
      </w:tblGrid>
      <w:tr>
        <w:tc>
          <w:tcPr/>
          <w:bookmarkStart w:id="27" w:name="fig-map"/>
          <w:p>
            <w:pPr>
              <w:jc w:val="center"/>
            </w:pPr>
            <w:r>
              <w:drawing>
                <wp:inline>
                  <wp:extent cx="5943600" cy="5943600"/>
                  <wp:effectExtent b="0" l="0" r="0" t="0"/>
                  <wp:docPr descr="" title="" id="25" name="Picture"/>
                  <a:graphic>
                    <a:graphicData uri="http://schemas.openxmlformats.org/drawingml/2006/picture">
                      <pic:pic>
                        <pic:nvPicPr>
                          <pic:cNvPr descr="../data/map_data/map_June_01.pdf" id="26" name="Picture"/>
                          <pic:cNvPicPr>
                            <a:picLocks noChangeArrowheads="1" noChangeAspect="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representation of the data collected by the</w:t>
            </w:r>
            <w:r>
              <w:t xml:space="preserve"> </w:t>
            </w:r>
            <w:r>
              <w:rPr>
                <w:iCs/>
                <w:i/>
              </w:rPr>
              <w:t xml:space="preserve">Survey of COVID-19 related Behaviours and Attitudes</w:t>
            </w:r>
            <w:r>
              <w:t xml:space="preserve">, collected by the Fields Institute in Ontario. Municipalities from where survey participants provided answers appear as points, color indicates number of observation obtained from each city. The Health six Regions are color-coded and labelled sequentially. Internal boundaries within certain Health Regions indicate areas previously covered by the Local Integrated Health Networks (LHINs).</w:t>
            </w:r>
          </w:p>
          <w:bookmarkEnd w:id="27"/>
        </w:tc>
      </w:tr>
    </w:tbl>
    <w:p>
      <w:pPr>
        <w:pStyle w:val="BodyText"/>
      </w:pPr>
      <w:r>
        <w:t xml:space="preserve">To analyze the survey data, we used a logistic regression model to examine the impact of the Health Regions in the uptake of the first dose of the vaccine, using as the variable of interest the question</w:t>
      </w:r>
      <w:r>
        <w:t xml:space="preserve"> </w:t>
      </w:r>
      <w:r>
        <w:t xml:space="preserve">“</w:t>
      </w:r>
      <w:r>
        <w:t xml:space="preserve">Have you received the first dose of the COVID vaccine?</w:t>
      </w:r>
      <w:r>
        <w:t xml:space="preserve">”</w:t>
      </w:r>
      <w:r>
        <w:t xml:space="preserve"> </w:t>
      </w:r>
      <w:r>
        <w:t xml:space="preserve">(with possible answers</w:t>
      </w:r>
      <w:r>
        <w:t xml:space="preserve"> </w:t>
      </w:r>
      <w:r>
        <w:t xml:space="preserve">“</w:t>
      </w:r>
      <w:r>
        <w:t xml:space="preserve">yes</w:t>
      </w:r>
      <w:r>
        <w:t xml:space="preserve">”</w:t>
      </w:r>
      <w:r>
        <w:t xml:space="preserve"> </w:t>
      </w:r>
      <w:r>
        <w:t xml:space="preserve">or</w:t>
      </w:r>
      <w:r>
        <w:t xml:space="preserve"> </w:t>
      </w:r>
      <w:r>
        <w:t xml:space="preserve">“</w:t>
      </w:r>
      <w:r>
        <w:t xml:space="preserve">no</w:t>
      </w:r>
      <w:r>
        <w:t xml:space="preserve">”</w:t>
      </w:r>
      <w:r>
        <w:t xml:space="preserve">), while considering as independent variables the socio-economic factors of the participants, months covered by the survey (</w:t>
      </w:r>
      <w:r>
        <w:rPr>
          <w:bCs/>
          <w:b/>
        </w:rPr>
        <w:t xml:space="preserve">?@tbl-descriptive-stats</w:t>
      </w:r>
      <w:r>
        <w:t xml:space="preserve">), and the Health Regions of OH. Furthermore, we included certain interactions (Race and Health Region and Race and income) in our model as previous studies have shown that socio-economic factors and their interactions are significant predictors of intent of vaccination and vaccination status</w:t>
      </w:r>
      <w:r>
        <w:rPr>
          <w:vertAlign w:val="superscript"/>
        </w:rPr>
        <w:t xml:space="preserve">47–49</w:t>
      </w:r>
      <w:r>
        <w:t xml:space="preserve">.</w:t>
      </w:r>
    </w:p>
    <w:p>
      <w:pPr>
        <w:pStyle w:val="BodyText"/>
      </w:pPr>
      <w:r>
        <w:t xml:space="preserve">Because we identified differences between the percentage of participation within the socio-demographic factors of the survey considered in in our analysis and the percentage within these factors in the 2016 Census (such as participation within age groups and racial/ethnic groups), we used an iterative proportional fitting procedure (</w:t>
      </w:r>
      <w:r>
        <w:rPr>
          <w:iCs/>
          <w:i/>
        </w:rPr>
        <w:t xml:space="preserve">raking</w:t>
      </w:r>
      <w:r>
        <w:t xml:space="preserve">)</w:t>
      </w:r>
      <w:r>
        <w:rPr>
          <w:vertAlign w:val="superscript"/>
        </w:rPr>
        <w:t xml:space="preserve">50</w:t>
      </w:r>
      <w:r>
        <w:t xml:space="preserve"> </w:t>
      </w:r>
      <w:r>
        <w:t xml:space="preserve">to correct the percentages within each socio-demographic variable using population totals obtained from the Census and OH; later, we fitted the regression model to the uncorrected and corrected data to determine if there were any differences in the obtanied estimates. Details regarding the correction can be found in the Appendix. All analyses were conducted in R 4.2.2 using the packages</w:t>
      </w:r>
      <w:r>
        <w:t xml:space="preserve"> </w:t>
      </w:r>
      <w:r>
        <w:rPr>
          <w:rStyle w:val="VerbatimChar"/>
        </w:rPr>
        <w:t xml:space="preserve">survey</w:t>
      </w:r>
      <w:r>
        <w:rPr>
          <w:vertAlign w:val="superscript"/>
        </w:rPr>
        <w:t xml:space="preserve">51</w:t>
      </w:r>
      <w:r>
        <w:t xml:space="preserve">,</w:t>
      </w:r>
      <w:r>
        <w:rPr>
          <w:rStyle w:val="VerbatimChar"/>
        </w:rPr>
        <w:t xml:space="preserve">tidyverse</w:t>
      </w:r>
      <w:r>
        <w:rPr>
          <w:vertAlign w:val="superscript"/>
        </w:rPr>
        <w:t xml:space="preserve">52</w:t>
      </w:r>
      <w:r>
        <w:t xml:space="preserve">,</w:t>
      </w:r>
      <w:r>
        <w:t xml:space="preserve"> </w:t>
      </w:r>
      <w:r>
        <w:rPr>
          <w:rStyle w:val="VerbatimChar"/>
        </w:rPr>
        <w:t xml:space="preserve">quarto</w:t>
      </w:r>
      <w:r>
        <w:rPr>
          <w:vertAlign w:val="superscript"/>
        </w:rPr>
        <w:t xml:space="preserve">53</w:t>
      </w:r>
      <w:r>
        <w:t xml:space="preserve">,</w:t>
      </w:r>
      <w:r>
        <w:t xml:space="preserve"> </w:t>
      </w:r>
      <w:r>
        <w:rPr>
          <w:rStyle w:val="VerbatimChar"/>
        </w:rPr>
        <w:t xml:space="preserve">modelsummary</w:t>
      </w:r>
      <w:r>
        <w:rPr>
          <w:vertAlign w:val="superscript"/>
        </w:rPr>
        <w:t xml:space="preserve">54</w:t>
      </w:r>
      <w:r>
        <w:t xml:space="preserve">, and</w:t>
      </w:r>
      <w:r>
        <w:t xml:space="preserve"> </w:t>
      </w:r>
      <w:r>
        <w:rPr>
          <w:rStyle w:val="VerbatimChar"/>
        </w:rPr>
        <w:t xml:space="preserve">gtsummary</w:t>
      </w:r>
      <w:r>
        <w:rPr>
          <w:vertAlign w:val="superscript"/>
        </w:rPr>
        <w:t xml:space="preserve">55</w:t>
      </w:r>
      <w:r>
        <w:t xml:space="preserve">.</w:t>
      </w:r>
    </w:p>
    <w:bookmarkEnd w:id="28"/>
    <w:bookmarkEnd w:id="29"/>
    <w:bookmarkStart w:id="37" w:name="results"/>
    <w:p>
      <w:pPr>
        <w:pStyle w:val="Heading1"/>
      </w:pPr>
      <w:r>
        <w:t xml:space="preserve">Results</w:t>
      </w:r>
    </w:p>
    <w:bookmarkStart w:id="31" w:name="sample-characteristics"/>
    <w:p>
      <w:pPr>
        <w:pStyle w:val="Heading2"/>
      </w:pPr>
      <w:r>
        <w:t xml:space="preserve">Sample Characteristics</w:t>
      </w:r>
    </w:p>
    <w:p>
      <w:pPr>
        <w:pStyle w:val="FirstParagraph"/>
      </w:pPr>
      <w:r>
        <w:rPr>
          <w:bCs/>
          <w:b/>
        </w:rPr>
        <w:t xml:space="preserve">?@tbl-descriptive-stats</w:t>
      </w:r>
      <w:r>
        <w:t xml:space="preserve"> </w:t>
      </w:r>
      <w:r>
        <w:t xml:space="preserve">shows the characteristics of the data from the Fields COVID-19 survey used for analysis. The sample contained 6,236 observations, from which 24.8% (1,547) corresponded to individuals that reported not having initiated a COVID-19 vaccine primary series (in other words, not having received the first dose of the vaccine). The rate for the first dose of the vaccine ranged between 71-79% across all household income brackets, age groups, Health Regions, and the months considered in the survey. However, the highest rate for the uptake of the first dose of the vaccine were reported by individuals in the highest income bracket (79%), those between 16 and 34 years of age (77%), individuals that lived in the East Health Region (77%), and during January of 2022 (78%). Between racial/ethnic groups, White/Caucasian individuals reported the highest uptake of the first dose of the vaccine (84%), against values that ranged between 63 and 66% in the case of Arab/Middle Eastern, Black, Indigenous, Latin American individuals, and those that belonged to the</w:t>
      </w:r>
      <w:r>
        <w:t xml:space="preserve"> </w:t>
      </w:r>
      <w:r>
        <w:t xml:space="preserve">“</w:t>
      </w:r>
      <w:r>
        <w:t xml:space="preserve">other</w:t>
      </w:r>
      <w:r>
        <w:t xml:space="preserve">”</w:t>
      </w:r>
      <w:r>
        <w:t xml:space="preserve"> </w:t>
      </w:r>
      <w:r>
        <w:t xml:space="preserve">racial group category (which included Southeast Asian, Filipino, West Asian, and minorities not identified elsewhere percentages ).</w:t>
      </w:r>
    </w:p>
    <w:bookmarkStart w:id="30" w:name="tbl-descriptive-stat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b w:val="true"/>
                <w:rFonts w:ascii="Calibri" w:hAnsi="Calibri"/>
                <w:sz w:val="20"/>
              </w:rPr>
              <w:t xml:space="preserve">Variable</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no</w:t>
            </w:r>
            <w:r>
              <w:rPr>
                <w:rFonts w:ascii="Calibri" w:hAnsi="Calibri"/>
                <w:sz w:val="20"/>
              </w:rPr>
              <w:t xml:space="preserve">, N = 1,547</w:t>
            </w:r>
            <w:r>
              <w:rPr>
                <w:vertAlign w:val="superscript"/>
                <w:i/>
                <w:rFonts w:ascii="Calibri" w:hAnsi="Calibri"/>
                <w:sz w:val="20"/>
              </w:rPr>
              <w:t xml:space="default">1</w:t>
            </w:r>
          </w:p>
        </w:tc>
        <w:tc>
          <w:tcPr>
            <w:tcBorders>
              <w:top w:val="single" w:sz="16" w:space="0" w:color="D3D3D3"/>
              <w:bottom w:val="single" w:sz="16" w:space="0" w:color="D3D3D3"/>
              <w:end w:val="single" w:space="0" w:color="D3D3D3"/>
            </w:tcBorders>
          </w:tcPr>
          <w:p>
            <w:pPr>
              <w:spacing w:before="0" w:after="60"/>
              <w:keepNext/>
              <w:jc w:val="center"/>
            </w:pPr>
            <w:r>
              <w:rPr>
                <w:b w:val="true"/>
                <w:rFonts w:ascii="Calibri" w:hAnsi="Calibri"/>
                <w:sz w:val="20"/>
              </w:rPr>
              <w:t xml:space="preserve">yes</w:t>
            </w:r>
            <w:r>
              <w:rPr>
                <w:rFonts w:ascii="Calibri" w:hAnsi="Calibri"/>
                <w:sz w:val="20"/>
              </w:rPr>
              <w:t xml:space="preserve">, N = 4,689</w:t>
            </w:r>
            <w:r>
              <w:rPr>
                <w:vertAlign w:val="superscript"/>
                <w:i/>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Income (CAD)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60000 and above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542 (21%)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1,996 (79%)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25000-59999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347 (25%)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1,046 (75%)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under 25000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658 (29%)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1,647 (71%)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Age Group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16-34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645 (23%)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2,117 (77%)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35-54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411 (24%)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1,305 (76%)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55 and over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491 (28%)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1,267 (72%)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Health Region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Toronto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593 (26%)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1,709 (74%)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Central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372 (26%)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1,083 (74%)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East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236 (23%)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783 (77%)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West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346 (24%)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1,114 (76%)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Month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October 2021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469 (27%)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1,263 (73%)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November 2021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376 (28%)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980 (72%)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December 2021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181 (24%)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565 (76%)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January 2022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521 (22%)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1,881 (78%)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Race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White/Caucasian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354 (16%)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1,871 (84%)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Arab/Middle Eastern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111 (34%)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220 (66%)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Black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159 (34%)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303 (66%)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East Asian/Pacific Islander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94 (19%)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404 (81%)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Indigenous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112 (37%)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194 (63%)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Latin American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99 (34%)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195 (66%)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Mixed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177 (30%)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411 (70%)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Other</w:t>
            </w:r>
            <w:r>
              <w:rPr>
                <w:vertAlign w:val="superscript"/>
                <w:i/>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315 (34%)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606 (66%)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South Asian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126 (21%)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485 (79%)</w:t>
            </w:r>
          </w:p>
        </w:tc>
      </w:tr>
      <w:tr>
        <w:trPr>
          <w:cantSplit/>
        </w:trPr>
        <w:tc>
          <w:tcPr>
            <w:gridSpan w:val="3"/>
          </w:tcPr>
          <w:p>
            <w:pPr>
              <w:spacing w:before="0" w:after="60"/>
              <w:keepNext/>
            </w:pPr>
            <w:r>
              <w:rPr>
                <w:vertAlign w:val="superscript"/>
                <w:i/>
                <w:rFonts w:ascii="Calibri" w:hAnsi="Calibri"/>
                <w:sz w:val="20"/>
              </w:rPr>
              <w:t xml:space="default">1</w:t>
            </w:r>
            <w:r>
              <w:rPr>
                <w:rFonts w:ascii="Calibri" w:hAnsi="Calibri"/>
                <w:sz w:val="20"/>
              </w:rPr>
              <w:t xml:space="default">n (%)</w:t>
            </w:r>
          </w:p>
        </w:tc>
      </w:tr>
      <w:tr>
        <w:trPr>
          <w:cantSplit/>
        </w:trPr>
        <w:tc>
          <w:tcPr>
            <w:gridSpan w:val="3"/>
          </w:tcPr>
          <w:p>
            <w:pPr>
              <w:spacing w:before="0" w:after="60"/>
              <w:keepNext/>
            </w:pPr>
            <w:r>
              <w:rPr>
                <w:vertAlign w:val="superscript"/>
                <w:i/>
                <w:rFonts w:ascii="Calibri" w:hAnsi="Calibri"/>
                <w:sz w:val="20"/>
              </w:rPr>
              <w:t xml:space="default">2</w:t>
            </w:r>
            <w:r>
              <w:rPr>
                <w:rFonts w:ascii="Calibri" w:hAnsi="Calibri"/>
                <w:sz w:val="20"/>
              </w:rPr>
              <w:t xml:space="default">This category included Southeast Asian, Filipino, and West Asian individuals, and minorities not identified elsewhere according to the 2016 Census.</w:t>
            </w:r>
          </w:p>
        </w:tc>
      </w:tr>
    </w:tbl>
    <w:p>
      <w:pPr>
        <w:pStyle w:val="BodyText"/>
      </w:pPr>
      <w:r>
        <w:rPr>
          <w:bCs/>
          <w:b/>
        </w:rPr>
        <w:t xml:space="preserve">?(caption)</w:t>
      </w:r>
    </w:p>
    <w:bookmarkEnd w:id="30"/>
    <w:bookmarkEnd w:id="31"/>
    <w:bookmarkStart w:id="36" w:name="multivariate-regression"/>
    <w:p>
      <w:pPr>
        <w:pStyle w:val="Heading2"/>
      </w:pPr>
      <w:r>
        <w:t xml:space="preserve">Multivariate Regression</w:t>
      </w:r>
    </w:p>
    <w:p>
      <w:pPr>
        <w:pStyle w:val="FirstParagraph"/>
      </w:pPr>
      <w:hyperlink w:anchor="fig-models">
        <w:r>
          <w:rPr>
            <w:rStyle w:val="Hyperlink"/>
          </w:rPr>
          <w:t xml:space="preserve">Figure 2</w:t>
        </w:r>
      </w:hyperlink>
      <w:r>
        <w:t xml:space="preserve"> </w:t>
      </w:r>
      <w:r>
        <w:t xml:space="preserve">presents the estimates (as odd ratios) from the logistic regression models for vaccination status using the socio-demographic factors collected by the survey, and their interactions for the corrected and uncorrected data. Generally speaking, lower odds of vaccination were identified in both cases in individuals characterized by a low household income, or that identified as part of underrepresented groups. However, the magnitude of the estimates differed between the uncorrected and corrected models and more importantly, there were differences in the statistical significance of certain estimates before and after the correction. Specifically, the uncorrected model showed significant differences in vaccination odds between the age groups considered, the East Health Region, Latin American individuals with a household income under CAD 25,000, and Indigenous individuals living in the Central Health Region (</w:t>
      </w:r>
      <w:hyperlink w:anchor="fig-models">
        <w:r>
          <w:rPr>
            <w:rStyle w:val="Hyperlink"/>
          </w:rPr>
          <w:t xml:space="preserve">Figure 2</w:t>
        </w:r>
      </w:hyperlink>
      <w:r>
        <w:t xml:space="preserve">,B) but these were deemed non statistically significant after the correction.</w:t>
      </w:r>
    </w:p>
    <w:tbl>
      <w:tblPr>
        <w:tblStyle w:val="Table"/>
        <w:tblW w:type="pct" w:w="5000"/>
        <w:tblLook w:firstRow="0" w:lastRow="0" w:firstColumn="0" w:lastColumn="0" w:noHBand="0" w:noVBand="0" w:val="0000"/>
        <w:jc w:val="start"/>
      </w:tblPr>
      <w:tblGrid>
        <w:gridCol w:w="7920"/>
      </w:tblGrid>
      <w:tr>
        <w:tc>
          <w:tcPr/>
          <w:bookmarkStart w:id="35" w:name="fig-models"/>
          <w:p>
            <w:pPr>
              <w:jc w:val="left"/>
            </w:pPr>
            <w:r>
              <w:drawing>
                <wp:inline>
                  <wp:extent cx="5943600" cy="6736080"/>
                  <wp:effectExtent b="0" l="0" r="0" t="0"/>
                  <wp:docPr descr="" title="" id="33" name="Picture"/>
                  <a:graphic>
                    <a:graphicData uri="http://schemas.openxmlformats.org/drawingml/2006/picture">
                      <pic:pic>
                        <pic:nvPicPr>
                          <pic:cNvPr descr="main_files/figure-docx/fig-models-1.png" id="34" name="Picture"/>
                          <pic:cNvPicPr>
                            <a:picLocks noChangeArrowheads="1" noChangeAspect="1"/>
                          </pic:cNvPicPr>
                        </pic:nvPicPr>
                        <pic:blipFill>
                          <a:blip r:embed="rId32"/>
                          <a:stretch>
                            <a:fillRect/>
                          </a:stretch>
                        </pic:blipFill>
                        <pic:spPr bwMode="auto">
                          <a:xfrm>
                            <a:off x="0" y="0"/>
                            <a:ext cx="5943600" cy="6736080"/>
                          </a:xfrm>
                          <a:prstGeom prst="rect">
                            <a:avLst/>
                          </a:prstGeom>
                          <a:noFill/>
                          <a:ln w="9525">
                            <a:noFill/>
                            <a:headEnd/>
                            <a:tailEnd/>
                          </a:ln>
                        </pic:spPr>
                      </pic:pic>
                    </a:graphicData>
                  </a:graphic>
                </wp:inline>
              </w:drawing>
            </w:r>
          </w:p>
          <w:p>
            <w:pPr>
              <w:jc w:val="left"/>
            </w:pPr>
            <w:pPr>
              <w:jc w:val="start"/>
              <w:spacing w:before="200"/>
              <w:pStyle w:val="ImageCaption"/>
            </w:pPr>
            <w:r>
              <w:t xml:space="preserve">Figure 2:</w:t>
            </w:r>
            <w:r>
              <w:t xml:space="preserve"> </w:t>
            </w:r>
            <w:r>
              <w:rPr>
                <w:bCs/>
                <w:b/>
              </w:rPr>
              <w:t xml:space="preserve">A</w:t>
            </w:r>
            <w:r>
              <w:t xml:space="preserve">. Coefficient estimates and confidence intervals for the uncorrected model.</w:t>
            </w:r>
            <w:r>
              <w:t xml:space="preserve"> </w:t>
            </w:r>
            <w:r>
              <w:rPr>
                <w:bCs/>
                <w:b/>
              </w:rPr>
              <w:t xml:space="preserve">B</w:t>
            </w:r>
            <w:r>
              <w:t xml:space="preserve">. Coefficient estimates and confidence intervals for the corrected model. Only statistically significant interaction terms are shown in both cases. Full interaction terms can be found in Supplementary Figures A-3 and A-4.</w:t>
            </w:r>
          </w:p>
          <w:bookmarkEnd w:id="35"/>
        </w:tc>
      </w:tr>
    </w:tbl>
    <w:p>
      <w:pPr>
        <w:pStyle w:val="BodyText"/>
      </w:pPr>
      <w:r>
        <w:t xml:space="preserve">However, significantly lower odds of vaccination were identified in the corrected model for those with a household income under CAD 25,000 (OR=0.37, CI=[0.27,0.51]) and those with an income between CAD 25,000 and 59,999 (OR=0.58, CI=[0.42,0.81]). Additionally, individuals who identified as Arab/Middle Eastern, Black, Latin American, of mixed background, or that belonged to other racial groups (a category that included Southeast Asian, Filipino, West Asian, and minorities not identified elsewhere), had significantly lower odds of vaccination than those in the White/Caucasian group (ORs and CIs=0.28 [0.16,0.51], 0.27 [0.16,0.45], 0.40 [0.21,0.76], 0.53 [0.30,0.92], 0.23 [0.15,0.36]). Additionally, individuals that reported living in the Central and West Health Regions had higher odds of vaccination than those in the Health Region of Toronto (ORs and CIs=1.61 [1.10,2.34], and 1.59 [1.16,2.19], respectively).</w:t>
      </w:r>
    </w:p>
    <w:p>
      <w:pPr>
        <w:pStyle w:val="BodyText"/>
      </w:pPr>
      <w:r>
        <w:t xml:space="preserve">Interestingly, individuals in underrepresented groups with a household income below CAD 25,000 had higher odds of vaccination (when compared to those with a household income above CAD 60,000). This held true in the case of Arab/Middle Eastern individuals (OR=34, CI=[1.70,6.79]), Black individuals (OR=3.81, CI=[2.05, 7.09]), and those in other racial or ethnic groups (OR=3.19, CI=[2.00,5.09]). Additionally, individuals with an income between CAD 25,000 and 59,999 in the Arab/Middle Eastern and other racial or ethnic groups also had higher odds of vaccination than their high-income peers (ORs and CIs=6.96 [2.67,18.16], and 3.5 [1.85,6.62]).</w:t>
      </w:r>
    </w:p>
    <w:p>
      <w:pPr>
        <w:pStyle w:val="BodyText"/>
      </w:pPr>
      <w:r>
        <w:t xml:space="preserve">Finally, the place of habitation affected the odds of vaccination for certain underrepresented groups, as significantly lower odds of vaccination were identified for the interaction between Health Region and race in the case of Black individuals in the Central Health Region (OR=0.39, CI=[0.2,0.75]), Arab/Middle Eastern individuals in the East Health Region (OR=0.41 [0.17, 0.98]), and in the Indigenous and mixed groups in the West Health Region (ORs and CIs=[0.31 [0.14, 0.7] and 0.38 [0.19, 0.76], respectively).</w:t>
      </w:r>
    </w:p>
    <w:bookmarkEnd w:id="36"/>
    <w:bookmarkEnd w:id="37"/>
    <w:bookmarkStart w:id="38" w:name="discussion"/>
    <w:p>
      <w:pPr>
        <w:pStyle w:val="Heading1"/>
      </w:pPr>
      <w:r>
        <w:t xml:space="preserve">Discussion</w:t>
      </w:r>
    </w:p>
    <w:p>
      <w:pPr>
        <w:pStyle w:val="FirstParagraph"/>
      </w:pPr>
      <w:r>
        <w:t xml:space="preserve">In this study, we wanted to understand if there were differences in COVID-19 vaccination rates among the Health Regions between October 2021 and January of 2022 while identifying the socio-demographic determinants (and their interactions) that could help predict these differences.</w:t>
      </w:r>
      <w:r>
        <w:t xml:space="preserve"> </w:t>
      </w:r>
      <w:r>
        <w:t xml:space="preserve">Using the Health Regions as the base of our analysis was advantageous, as these newly implemented administrative areas match closely the geographical boundaries of the Health Regions that have been historically used to group Public Health Units in the province</w:t>
      </w:r>
      <w:r>
        <w:rPr>
          <w:vertAlign w:val="superscript"/>
        </w:rPr>
        <w:t xml:space="preserve">56,57</w:t>
      </w:r>
      <w:r>
        <w:t xml:space="preserve">. Thus, a Health Region-based analysis could provide information on vaccination uptake that could be useful to understand patterns within the realm of PHO and OH. Moreover, such analysis could provide an overall assessment of intra-provincial disparities that might need to be addressed moving forward by decision-makers in order to ensure that in the event of a future public health emergency or pandemic, OH and PHO will able to work collaboratively in an efficient way having learned from the COVID-19 experience</w:t>
      </w:r>
      <w:r>
        <w:rPr>
          <w:vertAlign w:val="superscript"/>
        </w:rPr>
        <w:t xml:space="preserve">41</w:t>
      </w:r>
      <w:r>
        <w:t xml:space="preserve">, thus ensuring that the population of the province benefits in the long term from a robust health system.</w:t>
      </w:r>
    </w:p>
    <w:p>
      <w:pPr>
        <w:pStyle w:val="BodyText"/>
      </w:pPr>
      <w:r>
        <w:t xml:space="preserve">Our results show that indeed, there were differences in the uptake of the first dose of the vaccine across Ontario in certain socio-demographic groups. Specifically, those who identified as Arab/Middle Eastern, Black, Latin American, having mixed racial or ethnic background, or that belonged to other groups not explicitly included in the survey (Southeast Asian, Filipino, West Asian, and minority groups not identified elsewhere) had vaccination odds that were between a third and a half of that of individuals that identified as White or Caucasian (</w:t>
      </w:r>
      <w:hyperlink w:anchor="fig-models">
        <w:r>
          <w:rPr>
            <w:rStyle w:val="Hyperlink"/>
          </w:rPr>
          <w:t xml:space="preserve">Figure 2</w:t>
        </w:r>
      </w:hyperlink>
      <w:r>
        <w:t xml:space="preserve">). These results are consistent with previous studies that have shown lower vaccination rates in individuals with the same socio-demographic characteristics</w:t>
      </w:r>
      <w:r>
        <w:rPr>
          <w:vertAlign w:val="superscript"/>
        </w:rPr>
        <w:t xml:space="preserve">19–21,58</w:t>
      </w:r>
      <w:r>
        <w:t xml:space="preserve">.</w:t>
      </w:r>
    </w:p>
    <w:p>
      <w:pPr>
        <w:pStyle w:val="BodyText"/>
      </w:pPr>
      <w:r>
        <w:t xml:space="preserve">Lower vaccine uptake in the socio-demographic groups indicated above may be influenced in part, by vaccine hesitancy and refusal, which have been associated in underrepresented Canadian individuals with concerns on vaccine safety, effectiveness, and experiences of racial discrimination in health settings</w:t>
      </w:r>
      <w:r>
        <w:rPr>
          <w:vertAlign w:val="superscript"/>
        </w:rPr>
        <w:t xml:space="preserve">49,59–61</w:t>
      </w:r>
      <w:r>
        <w:t xml:space="preserve">. However, it has been shown that structural barriers also play an important role in vaccination uptake. In the case of underrepresented individuals, such barriers include complex scheduling systems, language barriers, lack of adequate public transportation, and lack of accessible vaccination sites</w:t>
      </w:r>
      <w:r>
        <w:rPr>
          <w:vertAlign w:val="superscript"/>
        </w:rPr>
        <w:t xml:space="preserve">62</w:t>
      </w:r>
      <w:r>
        <w:t xml:space="preserve">. In this regard, it is interesting to note that vaccination venues were scarce in low socio-economic areas that had the highest burden of COVID-19 in Toronto and other regions of Ontario around the time covered by the survey</w:t>
      </w:r>
      <w:r>
        <w:rPr>
          <w:vertAlign w:val="superscript"/>
        </w:rPr>
        <w:t xml:space="preserve">7,63</w:t>
      </w:r>
      <w:r>
        <w:t xml:space="preserve">, and that pharmacies in the Peel region (an area identified as a</w:t>
      </w:r>
      <w:r>
        <w:t xml:space="preserve"> </w:t>
      </w:r>
      <w:r>
        <w:t xml:space="preserve">“</w:t>
      </w:r>
      <w:r>
        <w:t xml:space="preserve">hotspot</w:t>
      </w:r>
      <w:r>
        <w:t xml:space="preserve">”</w:t>
      </w:r>
      <w:r>
        <w:t xml:space="preserve"> </w:t>
      </w:r>
      <w:r>
        <w:t xml:space="preserve">with high numbers of essential workers and multigenerational households) could not keep up with vaccine demand</w:t>
      </w:r>
      <w:r>
        <w:rPr>
          <w:vertAlign w:val="superscript"/>
        </w:rPr>
        <w:t xml:space="preserve">64</w:t>
      </w:r>
      <w:r>
        <w:t xml:space="preserve">. This suggests that the observed differences are associated with disparities in vaccine access that were present during the period covered by the survey.</w:t>
      </w:r>
    </w:p>
    <w:p>
      <w:pPr>
        <w:pStyle w:val="BodyText"/>
      </w:pPr>
      <w:r>
        <w:t xml:space="preserve">Interestingly, whereas overall self-reported vaccination rates were found to be statistically significantly lower in various underrepresented groups when compared to White/Caucasian individuals, the change in odds of vaccination within certain racial groups and income strata was actually positive, in contrast to the White/Caucasian group, where vaccination odds decreased in income brackets below CAD 60,000 (Supplementary Figure A-5). Specifically, individuals in low income brackets that belonged to Arab/Middle Eastern, Black, or other minority groups had higher odds of vaccination that their peers with an income above 60,000 CAD.</w:t>
      </w:r>
    </w:p>
    <w:p>
      <w:pPr>
        <w:pStyle w:val="BodyText"/>
      </w:pPr>
      <w:r>
        <w:t xml:space="preserve">This result likely reflects in part the fact that individuals in underrepresented groups tend to perform occupations that have been deemed as</w:t>
      </w:r>
      <w:r>
        <w:t xml:space="preserve"> </w:t>
      </w:r>
      <w:r>
        <w:t xml:space="preserve">“</w:t>
      </w:r>
      <w:r>
        <w:t xml:space="preserve">essential</w:t>
      </w:r>
      <w:r>
        <w:t xml:space="preserve">”</w:t>
      </w:r>
      <w:r>
        <w:t xml:space="preserve"> </w:t>
      </w:r>
      <w:r>
        <w:t xml:space="preserve">in the context of the pandemic</w:t>
      </w:r>
      <w:r>
        <w:rPr>
          <w:vertAlign w:val="superscript"/>
        </w:rPr>
        <w:t xml:space="preserve">65,66</w:t>
      </w:r>
      <w:r>
        <w:t xml:space="preserve">, which include workers in the areas of grocery stores, gas stations, warehouses, distribution, and manufacturing, all being occupations for which an income within the significant brackets identified in the analysis is to be expected. From one side, individuals in essential occupations in the province experienced higher rates of morbidity and mortality during the first year of the pandemic</w:t>
      </w:r>
      <w:r>
        <w:rPr>
          <w:vertAlign w:val="superscript"/>
        </w:rPr>
        <w:t xml:space="preserve">67</w:t>
      </w:r>
      <w:r>
        <w:t xml:space="preserve">, but later on, they had priority for COVID-19 vaccination</w:t>
      </w:r>
      <w:r>
        <w:rPr>
          <w:vertAlign w:val="superscript"/>
        </w:rPr>
        <w:t xml:space="preserve">68</w:t>
      </w:r>
      <w:r>
        <w:t xml:space="preserve">. Additionally, it is known that vaccination uptake in these individuals was encouraged by vaccination staff in certain parts of the province</w:t>
      </w:r>
      <w:r>
        <w:rPr>
          <w:vertAlign w:val="superscript"/>
        </w:rPr>
        <w:t xml:space="preserve">64</w:t>
      </w:r>
      <w:r>
        <w:t xml:space="preserve">. These facts, combined with evidence of increased trends in vaccination in this group elsewhere</w:t>
      </w:r>
      <w:r>
        <w:rPr>
          <w:vertAlign w:val="superscript"/>
        </w:rPr>
        <w:t xml:space="preserve">69</w:t>
      </w:r>
      <w:r>
        <w:t xml:space="preserve">, suggest that in Ontario, the type of occupation of individuals in underrepresented groups (which might have also affected their decision to get a vaccine based on their knowledge of increased risk), played an important role in the higher the odds of vaccination observed in these individuals.</w:t>
      </w:r>
    </w:p>
    <w:p>
      <w:pPr>
        <w:pStyle w:val="BodyText"/>
      </w:pPr>
      <w:r>
        <w:t xml:space="preserve">However, the results also indicate that the place of habitation affected the odds of vaccination for certain underrepresented groups (interaction term of Health Region and Race,</w:t>
      </w:r>
      <w:r>
        <w:t xml:space="preserve"> </w:t>
      </w:r>
      <w:hyperlink w:anchor="fig-models">
        <w:r>
          <w:rPr>
            <w:rStyle w:val="Hyperlink"/>
          </w:rPr>
          <w:t xml:space="preserve">Figure 2</w:t>
        </w:r>
      </w:hyperlink>
      <w:r>
        <w:t xml:space="preserve">,B). Specifically, this held true in the case of individuals identifying as Indigenous or with mixed racial background in the West Health Region, Black individuals in the Central Health Region, and Arab/Middle Eastern individuals in the East Health Region</w:t>
      </w:r>
      <w:r>
        <w:t xml:space="preserve"> </w:t>
      </w:r>
      <w:hyperlink w:anchor="fig-models">
        <w:r>
          <w:rPr>
            <w:rStyle w:val="Hyperlink"/>
          </w:rPr>
          <w:t xml:space="preserve">Figure 2</w:t>
        </w:r>
      </w:hyperlink>
      <w:r>
        <w:t xml:space="preserve">. For these individuals, vaccination odds were lower when compared to the Toronto Health Region (Supplementary Figure A-6). We indicate next some contributing factors that might help provide context to these results.</w:t>
      </w:r>
    </w:p>
    <w:p>
      <w:pPr>
        <w:pStyle w:val="BodyText"/>
      </w:pPr>
      <w:r>
        <w:t xml:space="preserve">First, in this case it is useful to analyze the data considering the LHINs in each Health Region, because most studies in the literature focused on Ontario use the LHINs as the base of their analyses. The West Health Region covers the area previously occupied by the Hamilton Niagara Haldimand Brant, South West, and Waterloo Wellington LHINs, whereas the East Health Region covers the area of the former Champlain and Central East LHINs. Previous research has identified health disparities in these (mostly rural) regions, such as unequal distribution of primary care providers, increased mortality, and low pharmacist availability</w:t>
      </w:r>
      <w:r>
        <w:rPr>
          <w:vertAlign w:val="superscript"/>
        </w:rPr>
        <w:t xml:space="preserve">70–72</w:t>
      </w:r>
      <w:r>
        <w:t xml:space="preserve">.</w:t>
      </w:r>
    </w:p>
    <w:p>
      <w:pPr>
        <w:pStyle w:val="BodyText"/>
      </w:pPr>
      <w:r>
        <w:t xml:space="preserve">Furthermore, there is an ongoing challenge for the health system of the province with regard to personalized healthcare for marginalized individuals. For example, the West Health Region has only two Aboriginal Health Access Centres (community-led primary healthcare organizations focused on First Nations, Métis, and Inuit communities) to provide care to an estimated population of 100,000 Indigenous individuals living in the area</w:t>
      </w:r>
      <w:r>
        <w:rPr>
          <w:vertAlign w:val="superscript"/>
        </w:rPr>
        <w:t xml:space="preserve">73</w:t>
      </w:r>
      <w:r>
        <w:t xml:space="preserve">. Lack of access to personalized healthcare affects individuals that may mistrust the traditional healthcare system due to systemic racism or oppression, which is known to be the case for Indigenous and Black individuals in Canada, as these rationales have been associated with observed lower vaccination rates among these groups</w:t>
      </w:r>
      <w:r>
        <w:rPr>
          <w:vertAlign w:val="superscript"/>
        </w:rPr>
        <w:t xml:space="preserve">74,75</w:t>
      </w:r>
      <w:r>
        <w:t xml:space="preserve">. Taken together, this suggests that healthcare disparities specific to these underrepresented groups in certain parts of the province impacted vaccination uptake, and highlights the need of investments in the Health Regions focused on resources, infrastructure, and specially personnel that can deliver personalized care to marginalized communities, as it has been shown that such efforts have improved trust in vaccination in underrepresented groups elsewhere</w:t>
      </w:r>
      <w:r>
        <w:rPr>
          <w:vertAlign w:val="superscript"/>
        </w:rPr>
        <w:t xml:space="preserve">76</w:t>
      </w:r>
      <w:r>
        <w:t xml:space="preserve">.</w:t>
      </w:r>
    </w:p>
    <w:p>
      <w:pPr>
        <w:pStyle w:val="BodyText"/>
      </w:pPr>
      <w:r>
        <w:t xml:space="preserve">There are some limitations to the present study. First, the data collection design, which allowed respondents to withdraw from the survey at any point, and that deployed the questions in a random manner resulted in an elevated number of missing observations without a definite pattern and complicated the implementation of sensitivity analyses. Therefore, we focused on entries that had complete answers, and corrected the data using population-wide information from the Census. However, more granular corrections would be needed to obtain more accurate estimates: For example, our analysis identified higher odds of vaccination in the Central and West Health Regions, but in this case these differences are likely to be driven by the proportion of White/Caucasian individuals, who had higher vaccination rates than other racial groups. Correcting for each racial/ethnic group in each Health Region would provide a more accurate estimation of region-wide vaccination rates but unfortunately, presently this correction cannot be implemented as such stratification has not been implemented in the open data that can be obtained from the Census.</w:t>
      </w:r>
    </w:p>
    <w:p>
      <w:pPr>
        <w:pStyle w:val="BodyText"/>
      </w:pPr>
      <w:r>
        <w:t xml:space="preserve">Additionally, our analysis did not consider the North West and North East Health Regions, due to the low number of entries from these areas in the survey (</w:t>
      </w:r>
      <w:hyperlink w:anchor="fig-map">
        <w:r>
          <w:rPr>
            <w:rStyle w:val="Hyperlink"/>
          </w:rPr>
          <w:t xml:space="preserve">Figure 1</w:t>
        </w:r>
      </w:hyperlink>
      <w:r>
        <w:t xml:space="preserve">). Low representation is expected as these regions as they only account for 5% of the total population of Ontario. However, these areas have the highest proportion of Indigenous inhabitants</w:t>
      </w:r>
      <w:r>
        <w:rPr>
          <w:vertAlign w:val="superscript"/>
        </w:rPr>
        <w:t xml:space="preserve">73</w:t>
      </w:r>
      <w:r>
        <w:t xml:space="preserve">. In the context of personalized care, there is a need to collect data that focuses on these Health Regions where additional health disparities might be present and possibly understudied.</w:t>
      </w:r>
    </w:p>
    <w:p>
      <w:pPr>
        <w:pStyle w:val="BodyText"/>
      </w:pPr>
      <w:r>
        <w:t xml:space="preserve">The results in this study are based on self-reported data, where bias might be present. However, in the context of COVID-19, it has been shown that good agreement exists between self-reported and documented vaccination status</w:t>
      </w:r>
      <w:r>
        <w:rPr>
          <w:vertAlign w:val="superscript"/>
        </w:rPr>
        <w:t xml:space="preserve">77</w:t>
      </w:r>
      <w:r>
        <w:t xml:space="preserve">, we believe that our data was able to provide a valid sample of vaccination uptake in the province. This is supported by the statistically significant higher vaccination odds that were identified for January of 2022 in the model, which are consistent with province-wide trends reported by Public Health Ontario (which show a 4% increase between early December and January, in contrast to a 2.5% increase between October and November</w:t>
      </w:r>
      <w:r>
        <w:rPr>
          <w:vertAlign w:val="superscript"/>
        </w:rPr>
        <w:t xml:space="preserve">78</w:t>
      </w:r>
      <w:r>
        <w:t xml:space="preserve">); however, the short time window constitutes essentially a</w:t>
      </w:r>
      <w:r>
        <w:t xml:space="preserve"> </w:t>
      </w:r>
      <w:r>
        <w:t xml:space="preserve">“</w:t>
      </w:r>
      <w:r>
        <w:t xml:space="preserve">snapshot</w:t>
      </w:r>
      <w:r>
        <w:t xml:space="preserve">”</w:t>
      </w:r>
      <w:r>
        <w:t xml:space="preserve"> </w:t>
      </w:r>
      <w:r>
        <w:t xml:space="preserve">view of the evolution of the disease, and additional data would be needed to obtain estimates per racial/ethnic group over time across all Health Regions that can help inform the existence of other health disparities.</w:t>
      </w:r>
    </w:p>
    <w:p>
      <w:pPr>
        <w:pStyle w:val="BodyText"/>
      </w:pPr>
      <w:r>
        <w:t xml:space="preserve">Nonetheless, the results presented here can serve as a starting point to motivate the collection of robust longitudinal data that can be used to quantify geographical and temporal differences within vulnerable segments of the population, and that can be used to inform the development of adequate public health policies within the province of Ontario or across other provinces in Canada that aim to minimize disparities in health access.</w:t>
      </w:r>
    </w:p>
    <w:bookmarkEnd w:id="38"/>
    <w:bookmarkStart w:id="39" w:name="conclusion"/>
    <w:p>
      <w:pPr>
        <w:pStyle w:val="Heading1"/>
      </w:pPr>
      <w:r>
        <w:t xml:space="preserve">Conclusion</w:t>
      </w:r>
    </w:p>
    <w:p>
      <w:pPr>
        <w:pStyle w:val="FirstParagraph"/>
      </w:pPr>
      <w:r>
        <w:t xml:space="preserve">The evidence collected in this study shows that differences in the uptake of the first dose of the COVID-19 vaccine by underrepresented individuals in the province of Ontario were the result of complex relationships between infrastructure, resources, occupations, geography, and socio-economic factors. Specifically, we identified that between the last trimester of 2021 and January of 2022 individuals that identified as Arab or Middle Eastern, Black, Latin American, of a mixed background, or that belonged to other racial groups had significantly lower odds of vaccination when compared to White/Caucasian individuals in Ontario.</w:t>
      </w:r>
    </w:p>
    <w:p>
      <w:pPr>
        <w:pStyle w:val="BodyText"/>
      </w:pPr>
      <w:r>
        <w:t xml:space="preserve">However, although overall vaccination uptake was lower in these underrepresented individuals in the province as a whole, the odds of vaccination differed within certain income levels and Health Regions in these groups, specially for those that reported a low household income and that had higher vaccination odds that individuals in the same racial/ethnic group with a higher income. These results highlight the complex landscape of the province, where varying degrees of rurality exist in conjunction with a socio-demographic makeup that is unique to each of the Health Regions.</w:t>
      </w:r>
    </w:p>
    <w:p>
      <w:pPr>
        <w:pStyle w:val="BodyText"/>
      </w:pPr>
      <w:r>
        <w:t xml:space="preserve">Such complexity presents an ongoing challenge for the healthcare system of Ontario, and in particular, to the Health Region model which will need to adapt and build on the LHIN model with the aim of providing an integrative approach that can serve those that are most vulnerable across all the Health Regions of the province. In particular, personalized care is an area that could be further developed to improve vaccination uptake in underrepresented individuals in the future. As we have shown above, there are currently a limited number of centers focused on community-led healthcare in the province, and our results showed the existence of differences in vaccination uptake between certain Health Regions. Improving personalized care for underrepresented individuals then, can serve as a point to improve trust and facilitate vaccine access in these marginalized communities.</w:t>
      </w:r>
    </w:p>
    <w:p>
      <w:pPr>
        <w:pStyle w:val="BodyText"/>
      </w:pPr>
      <w:r>
        <w:t xml:space="preserve">Furthermore, in the event of a future pandemic or public health emergency in the province in the years ahead, PHO and OH will need to collaborate on the implementation of public health measures (such as vaccination campaigns) building on the experience gained during the COVID-19 vaccination rollout. So far, the COVID-19 pandemic served as a stress test for both agencies, showing the necessity from decision makers to clearly define how PHO and OH will interact in the future in order to ensure that Ontarians can benefit by virtue of a robust collaboration between both agencies.</w:t>
      </w:r>
    </w:p>
    <w:p>
      <w:pPr>
        <w:pStyle w:val="BodyText"/>
      </w:pPr>
      <w:r>
        <w:t xml:space="preserve">Finally, the recent nature in the adaption of the Health Region poses a challenge for researchers in the acquisition of data and information that can be used to analyze the performance of the new model. From one side, the Health Regions have not been incorporated as part of Census data (LHINs were considered before in the Census), and this impacts the amount of data that can be obtained. On the other hand, evaluations of the Health Region model are at the moment not considered in the Annual Reports of the Auditor General of Ontario, which was critical in the past to identify limitations in the LHIN model. Currently, the only demographic information available for each Health Region is provided by Ontario Health (the agency that administers the Health Regions) but this information only provides general estimates that do not allow for detailed analyses of performance indicators (such as hospitalizations, readmissions, and trends in chronic disease incidence) between the Regions. Therefore, there is a pressing need for open data that can be used by researchers and decision-makers to assess the performance of the Health Region model.</w:t>
      </w:r>
    </w:p>
    <w:bookmarkEnd w:id="39"/>
    <w:bookmarkStart w:id="40" w:name="acknowledgments"/>
    <w:p>
      <w:pPr>
        <w:pStyle w:val="Heading1"/>
      </w:pPr>
      <w:r>
        <w:t xml:space="preserve">Acknowledgments</w:t>
      </w:r>
    </w:p>
    <w:p>
      <w:pPr>
        <w:pStyle w:val="FirstParagraph"/>
      </w:pPr>
      <w:r>
        <w:t xml:space="preserve">This work was supported by the Fonds de recherche du Québec Scholar Program (J1 in Artificial Intelligence and Digital Health, BN), the Natural Sciences and Engineering Research Council of Canada through the Discovery Grant Program (RGPID-560523-2020, BN), the Mathematics for Public Health (MfPH) Emerging Infectious Diseases Modelling Initiative (BN, AM), and the OMNI Emerging Infectious Disease Modelling Initiative (BN).</w:t>
      </w:r>
    </w:p>
    <w:p>
      <w:pPr>
        <w:pStyle w:val="BodyText"/>
      </w:pPr>
      <w:r>
        <w:t xml:space="preserve">The authors thank Dr. Sarah Wilson, Medical Epidemiologist with Public Health Ontario, for her valuable comments and feedback.</w:t>
      </w:r>
    </w:p>
    <w:bookmarkEnd w:id="40"/>
    <w:bookmarkStart w:id="41" w:name="conflicts-of-interest"/>
    <w:p>
      <w:pPr>
        <w:pStyle w:val="Heading1"/>
      </w:pPr>
      <w:r>
        <w:t xml:space="preserve">Conflicts of Interest</w:t>
      </w:r>
    </w:p>
    <w:p>
      <w:pPr>
        <w:pStyle w:val="FirstParagraph"/>
      </w:pPr>
      <w:r>
        <w:t xml:space="preserve">The authors declare no conflict of interest.</w:t>
      </w:r>
    </w:p>
    <w:bookmarkEnd w:id="41"/>
    <w:bookmarkStart w:id="197" w:name="references"/>
    <w:p>
      <w:pPr>
        <w:pStyle w:val="Heading1"/>
      </w:pPr>
      <w:r>
        <w:t xml:space="preserve">References</w:t>
      </w:r>
    </w:p>
    <w:bookmarkStart w:id="196" w:name="refs"/>
    <w:bookmarkStart w:id="43" w:name="ref-WHO-Covid"/>
    <w:p>
      <w:pPr>
        <w:pStyle w:val="Bibliography"/>
      </w:pPr>
      <w:r>
        <w:t xml:space="preserve">1.</w:t>
      </w:r>
      <w:r>
        <w:t xml:space="preserve"> </w:t>
      </w:r>
      <w:r>
        <w:t xml:space="preserve">	</w:t>
      </w:r>
      <w:r>
        <w:t xml:space="preserve">World Health Organization Coronavirus (COVID-19) Dashboard</w:t>
      </w:r>
      <w:r>
        <w:t xml:space="preserve">. Accessed May 11, 2023.</w:t>
      </w:r>
      <w:r>
        <w:t xml:space="preserve"> </w:t>
      </w:r>
      <w:hyperlink r:id="rId42">
        <w:r>
          <w:rPr>
            <w:rStyle w:val="Hyperlink"/>
          </w:rPr>
          <w:t xml:space="preserve">https://covid19.who.int/</w:t>
        </w:r>
      </w:hyperlink>
    </w:p>
    <w:bookmarkEnd w:id="43"/>
    <w:bookmarkStart w:id="45" w:name="ref-rigby2023"/>
    <w:p>
      <w:pPr>
        <w:pStyle w:val="Bibliography"/>
      </w:pPr>
      <w:r>
        <w:t xml:space="preserve">2.</w:t>
      </w:r>
      <w:r>
        <w:t xml:space="preserve"> </w:t>
      </w:r>
      <w:r>
        <w:t xml:space="preserve">	</w:t>
      </w:r>
      <w:r>
        <w:t xml:space="preserve">Rigby J, Satija B.</w:t>
      </w:r>
      <w:r>
        <w:t xml:space="preserve"> </w:t>
      </w:r>
      <w:r>
        <w:t xml:space="preserve">WHO</w:t>
      </w:r>
      <w:r>
        <w:t xml:space="preserve"> </w:t>
      </w:r>
      <w:r>
        <w:t xml:space="preserve">declares end to COVID global health emergency.</w:t>
      </w:r>
      <w:r>
        <w:t xml:space="preserve"> </w:t>
      </w:r>
      <w:r>
        <w:rPr>
          <w:iCs/>
          <w:i/>
        </w:rPr>
        <w:t xml:space="preserve">Reuters</w:t>
      </w:r>
      <w:r>
        <w:t xml:space="preserve">. Published online May 8, 2023. Accessed May 11, 2022.</w:t>
      </w:r>
      <w:r>
        <w:t xml:space="preserve"> </w:t>
      </w:r>
      <w:hyperlink r:id="rId44">
        <w:r>
          <w:rPr>
            <w:rStyle w:val="Hyperlink"/>
          </w:rPr>
          <w:t xml:space="preserve">https://www.reuters.com/business/healthcare-pharmaceuticals/covid-is-no-longer-global-health-emergency-who-2023-05-05/</w:t>
        </w:r>
      </w:hyperlink>
    </w:p>
    <w:bookmarkEnd w:id="45"/>
    <w:bookmarkStart w:id="47" w:name="ref-un2023"/>
    <w:p>
      <w:pPr>
        <w:pStyle w:val="Bibliography"/>
      </w:pPr>
      <w:r>
        <w:t xml:space="preserve">3.</w:t>
      </w:r>
      <w:r>
        <w:t xml:space="preserve"> </w:t>
      </w:r>
      <w:r>
        <w:t xml:space="preserve">	</w:t>
      </w:r>
      <w:r>
        <w:t xml:space="preserve">Nations U.</w:t>
      </w:r>
      <w:r>
        <w:t xml:space="preserve"> </w:t>
      </w:r>
      <w:r>
        <w:t xml:space="preserve">WHO</w:t>
      </w:r>
      <w:r>
        <w:t xml:space="preserve"> </w:t>
      </w:r>
      <w:r>
        <w:t xml:space="preserve">chief declares end to COVID-19 as a global health emergency.</w:t>
      </w:r>
      <w:r>
        <w:t xml:space="preserve"> </w:t>
      </w:r>
      <w:r>
        <w:rPr>
          <w:iCs/>
          <w:i/>
        </w:rPr>
        <w:t xml:space="preserve">UN News</w:t>
      </w:r>
      <w:r>
        <w:t xml:space="preserve">. Published online May 5, 2023. Accessed May 11, 2022.</w:t>
      </w:r>
      <w:r>
        <w:t xml:space="preserve"> </w:t>
      </w:r>
      <w:hyperlink r:id="rId46">
        <w:r>
          <w:rPr>
            <w:rStyle w:val="Hyperlink"/>
          </w:rPr>
          <w:t xml:space="preserve">https://news.un.org/en/story/2023/05/1136367</w:t>
        </w:r>
      </w:hyperlink>
    </w:p>
    <w:bookmarkEnd w:id="47"/>
    <w:bookmarkStart w:id="49" w:name="ref-mackey2021"/>
    <w:p>
      <w:pPr>
        <w:pStyle w:val="Bibliography"/>
      </w:pPr>
      <w:r>
        <w:t xml:space="preserve">4.</w:t>
      </w:r>
      <w:r>
        <w:t xml:space="preserve"> </w:t>
      </w:r>
      <w:r>
        <w:t xml:space="preserve">	</w:t>
      </w:r>
      <w:r>
        <w:t xml:space="preserve">Mackey K, Ayers CK, Kondo KK, et al. Racial and ethnic disparities in</w:t>
      </w:r>
      <w:r>
        <w:t xml:space="preserve"> </w:t>
      </w:r>
      <w:r>
        <w:t xml:space="preserve">COVID</w:t>
      </w:r>
      <w:r>
        <w:t xml:space="preserve">-19</w:t>
      </w:r>
      <w:r>
        <w:t xml:space="preserve">related infections, hospitalizations, and deaths.</w:t>
      </w:r>
      <w:r>
        <w:t xml:space="preserve"> </w:t>
      </w:r>
      <w:r>
        <w:rPr>
          <w:iCs/>
          <w:i/>
        </w:rPr>
        <w:t xml:space="preserve">Annals of Internal Medicine</w:t>
      </w:r>
      <w:r>
        <w:t xml:space="preserve">. 2021;174(3):362-373. doi:</w:t>
      </w:r>
      <w:hyperlink r:id="rId48">
        <w:r>
          <w:rPr>
            <w:rStyle w:val="Hyperlink"/>
          </w:rPr>
          <w:t xml:space="preserve">10.7326/m20-6306</w:t>
        </w:r>
      </w:hyperlink>
    </w:p>
    <w:bookmarkEnd w:id="49"/>
    <w:bookmarkStart w:id="51" w:name="ref-thelancet2021"/>
    <w:p>
      <w:pPr>
        <w:pStyle w:val="Bibliography"/>
      </w:pPr>
      <w:r>
        <w:t xml:space="preserve">5.</w:t>
      </w:r>
      <w:r>
        <w:t xml:space="preserve"> </w:t>
      </w:r>
      <w:r>
        <w:t xml:space="preserve">	</w:t>
      </w:r>
      <w:r>
        <w:t xml:space="preserve">Microbe TL.</w:t>
      </w:r>
      <w:r>
        <w:t xml:space="preserve"> </w:t>
      </w:r>
      <w:r>
        <w:t xml:space="preserve">COVID</w:t>
      </w:r>
      <w:r>
        <w:t xml:space="preserve">-19 vaccines: The pandemic will not end overnight.</w:t>
      </w:r>
      <w:r>
        <w:t xml:space="preserve"> </w:t>
      </w:r>
      <w:r>
        <w:rPr>
          <w:iCs/>
          <w:i/>
        </w:rPr>
        <w:t xml:space="preserve">The Lancet Microbe</w:t>
      </w:r>
      <w:r>
        <w:t xml:space="preserve">. 2021;2(1):e1. doi:</w:t>
      </w:r>
      <w:hyperlink r:id="rId50">
        <w:r>
          <w:rPr>
            <w:rStyle w:val="Hyperlink"/>
          </w:rPr>
          <w:t xml:space="preserve">10.1016/s2666-5247(20)30226-3</w:t>
        </w:r>
      </w:hyperlink>
    </w:p>
    <w:bookmarkEnd w:id="51"/>
    <w:bookmarkStart w:id="53" w:name="ref-davis2022"/>
    <w:p>
      <w:pPr>
        <w:pStyle w:val="Bibliography"/>
      </w:pPr>
      <w:r>
        <w:t xml:space="preserve">6.</w:t>
      </w:r>
      <w:r>
        <w:t xml:space="preserve"> </w:t>
      </w:r>
      <w:r>
        <w:t xml:space="preserve">	</w:t>
      </w:r>
      <w:r>
        <w:t xml:space="preserve">Davis CJ, Golding M, McKay R. Efficacy information influences intention to take COVID-19 vaccine.</w:t>
      </w:r>
      <w:r>
        <w:t xml:space="preserve"> </w:t>
      </w:r>
      <w:r>
        <w:rPr>
          <w:iCs/>
          <w:i/>
        </w:rPr>
        <w:t xml:space="preserve">British Journal of Health Psychology</w:t>
      </w:r>
      <w:r>
        <w:t xml:space="preserve">. 2022;27(2):300-319. doi:</w:t>
      </w:r>
      <w:hyperlink r:id="rId52">
        <w:r>
          <w:rPr>
            <w:rStyle w:val="Hyperlink"/>
          </w:rPr>
          <w:t xml:space="preserve">https://doi.org/10.1111/bjhp.12546</w:t>
        </w:r>
      </w:hyperlink>
    </w:p>
    <w:bookmarkEnd w:id="53"/>
    <w:bookmarkStart w:id="55" w:name="ref-bogoch2022"/>
    <w:p>
      <w:pPr>
        <w:pStyle w:val="Bibliography"/>
      </w:pPr>
      <w:r>
        <w:t xml:space="preserve">7.</w:t>
      </w:r>
      <w:r>
        <w:t xml:space="preserve"> </w:t>
      </w:r>
      <w:r>
        <w:t xml:space="preserve">	</w:t>
      </w:r>
      <w:r>
        <w:t xml:space="preserve">Bogoch II, Halani S.</w:t>
      </w:r>
      <w:r>
        <w:t xml:space="preserve"> </w:t>
      </w:r>
      <w:r>
        <w:t xml:space="preserve">COVID</w:t>
      </w:r>
      <w:r>
        <w:t xml:space="preserve">-19 vaccines: A geographic, social and policy view of vaccination efforts in ontario, canada.</w:t>
      </w:r>
      <w:r>
        <w:t xml:space="preserve"> </w:t>
      </w:r>
      <w:r>
        <w:rPr>
          <w:iCs/>
          <w:i/>
        </w:rPr>
        <w:t xml:space="preserve">Cambridge Journal of Regions, Economy and Society</w:t>
      </w:r>
      <w:r>
        <w:t xml:space="preserve">. Published online November 2022. doi:</w:t>
      </w:r>
      <w:hyperlink r:id="rId54">
        <w:r>
          <w:rPr>
            <w:rStyle w:val="Hyperlink"/>
          </w:rPr>
          <w:t xml:space="preserve">10.1093/cjres/rsac043</w:t>
        </w:r>
      </w:hyperlink>
    </w:p>
    <w:bookmarkEnd w:id="55"/>
    <w:bookmarkStart w:id="57" w:name="ref-tanne2020"/>
    <w:p>
      <w:pPr>
        <w:pStyle w:val="Bibliography"/>
      </w:pPr>
      <w:r>
        <w:t xml:space="preserve">8.</w:t>
      </w:r>
      <w:r>
        <w:t xml:space="preserve"> </w:t>
      </w:r>
      <w:r>
        <w:t xml:space="preserve">	</w:t>
      </w:r>
      <w:r>
        <w:t xml:space="preserve">Tanne JH. Covid-19:</w:t>
      </w:r>
      <w:r>
        <w:t xml:space="preserve"> </w:t>
      </w:r>
      <w:r>
        <w:t xml:space="preserve">FDA</w:t>
      </w:r>
      <w:r>
        <w:t xml:space="preserve"> </w:t>
      </w:r>
      <w:r>
        <w:t xml:space="preserve">panel votes to authorise pfizer</w:t>
      </w:r>
      <w:r>
        <w:t xml:space="preserve"> </w:t>
      </w:r>
      <w:r>
        <w:t xml:space="preserve">BioNTech</w:t>
      </w:r>
      <w:r>
        <w:t xml:space="preserve"> </w:t>
      </w:r>
      <w:r>
        <w:t xml:space="preserve">vaccine.</w:t>
      </w:r>
      <w:r>
        <w:t xml:space="preserve"> </w:t>
      </w:r>
      <w:r>
        <w:rPr>
          <w:iCs/>
          <w:i/>
        </w:rPr>
        <w:t xml:space="preserve">BMJ</w:t>
      </w:r>
      <w:r>
        <w:t xml:space="preserve">. Published online December 2020:m4799. doi:</w:t>
      </w:r>
      <w:hyperlink r:id="rId56">
        <w:r>
          <w:rPr>
            <w:rStyle w:val="Hyperlink"/>
          </w:rPr>
          <w:t xml:space="preserve">10.1136/bmj.m4799</w:t>
        </w:r>
      </w:hyperlink>
    </w:p>
    <w:bookmarkEnd w:id="57"/>
    <w:bookmarkStart w:id="59" w:name="ref-watson2022"/>
    <w:p>
      <w:pPr>
        <w:pStyle w:val="Bibliography"/>
      </w:pPr>
      <w:r>
        <w:t xml:space="preserve">9.</w:t>
      </w:r>
      <w:r>
        <w:t xml:space="preserve"> </w:t>
      </w:r>
      <w:r>
        <w:t xml:space="preserve">	</w:t>
      </w:r>
      <w:r>
        <w:t xml:space="preserve">Watson OJ, Barnsley G, Toor J, Hogan AB, Winskill P, Ghani AC. Global impact of the first year of</w:t>
      </w:r>
      <w:r>
        <w:t xml:space="preserve"> </w:t>
      </w:r>
      <w:r>
        <w:t xml:space="preserve">COVID</w:t>
      </w:r>
      <w:r>
        <w:t xml:space="preserve">-19 vaccination: A mathematical modelling study.</w:t>
      </w:r>
      <w:r>
        <w:t xml:space="preserve"> </w:t>
      </w:r>
      <w:r>
        <w:rPr>
          <w:iCs/>
          <w:i/>
        </w:rPr>
        <w:t xml:space="preserve">The Lancet Infectious Diseases</w:t>
      </w:r>
      <w:r>
        <w:t xml:space="preserve">. 2022;22(9):1293-1302. doi:</w:t>
      </w:r>
      <w:hyperlink r:id="rId58">
        <w:r>
          <w:rPr>
            <w:rStyle w:val="Hyperlink"/>
          </w:rPr>
          <w:t xml:space="preserve">10.1016/s1473-3099(22)00320-6</w:t>
        </w:r>
      </w:hyperlink>
    </w:p>
    <w:bookmarkEnd w:id="59"/>
    <w:bookmarkStart w:id="61" w:name="ref-li2021"/>
    <w:p>
      <w:pPr>
        <w:pStyle w:val="Bibliography"/>
      </w:pPr>
      <w:r>
        <w:t xml:space="preserve">10.</w:t>
      </w:r>
      <w:r>
        <w:t xml:space="preserve"> </w:t>
      </w:r>
      <w:r>
        <w:t xml:space="preserve">	</w:t>
      </w:r>
      <w:r>
        <w:t xml:space="preserve">Li Q, Wang J, Tang Y, Lu H. Next-generation COVID-19 vaccines: Opportunities for vaccine development and challenges in tackling COVID-19.</w:t>
      </w:r>
      <w:r>
        <w:t xml:space="preserve"> </w:t>
      </w:r>
      <w:r>
        <w:rPr>
          <w:iCs/>
          <w:i/>
        </w:rPr>
        <w:t xml:space="preserve">Drug Discoveries &amp; Therapeutics</w:t>
      </w:r>
      <w:r>
        <w:t xml:space="preserve">. 2021;15(3):118-123. doi:</w:t>
      </w:r>
      <w:hyperlink r:id="rId60">
        <w:r>
          <w:rPr>
            <w:rStyle w:val="Hyperlink"/>
          </w:rPr>
          <w:t xml:space="preserve">10.5582/ddt.2021.0105</w:t>
        </w:r>
      </w:hyperlink>
    </w:p>
    <w:bookmarkEnd w:id="61"/>
    <w:bookmarkStart w:id="63" w:name="ref-dolgin2021"/>
    <w:p>
      <w:pPr>
        <w:pStyle w:val="Bibliography"/>
      </w:pPr>
      <w:r>
        <w:t xml:space="preserve">11.</w:t>
      </w:r>
      <w:r>
        <w:t xml:space="preserve"> </w:t>
      </w:r>
      <w:r>
        <w:t xml:space="preserve">	</w:t>
      </w:r>
      <w:r>
        <w:t xml:space="preserve">Dolgin E.</w:t>
      </w:r>
      <w:r>
        <w:t xml:space="preserve"> </w:t>
      </w:r>
      <w:r>
        <w:t xml:space="preserve">COVID</w:t>
      </w:r>
      <w:r>
        <w:t xml:space="preserve"> </w:t>
      </w:r>
      <w:r>
        <w:t xml:space="preserve">vaccine immunity is waning</w:t>
      </w:r>
      <w:r>
        <w:t xml:space="preserve"> </w:t>
      </w:r>
      <w:r>
        <w:t xml:space="preserve"> </w:t>
      </w:r>
      <w:r>
        <w:t xml:space="preserve">how much does that matter?</w:t>
      </w:r>
      <w:r>
        <w:t xml:space="preserve"> </w:t>
      </w:r>
      <w:r>
        <w:rPr>
          <w:iCs/>
          <w:i/>
        </w:rPr>
        <w:t xml:space="preserve">Nature</w:t>
      </w:r>
      <w:r>
        <w:t xml:space="preserve">. 2021;597(7878):606-607. doi:</w:t>
      </w:r>
      <w:hyperlink r:id="rId62">
        <w:r>
          <w:rPr>
            <w:rStyle w:val="Hyperlink"/>
          </w:rPr>
          <w:t xml:space="preserve">10.1038/d41586-021-02532-4</w:t>
        </w:r>
      </w:hyperlink>
    </w:p>
    <w:bookmarkEnd w:id="63"/>
    <w:bookmarkStart w:id="65" w:name="ref-gerretsen2021"/>
    <w:p>
      <w:pPr>
        <w:pStyle w:val="Bibliography"/>
      </w:pPr>
      <w:r>
        <w:t xml:space="preserve">12.</w:t>
      </w:r>
      <w:r>
        <w:t xml:space="preserve"> </w:t>
      </w:r>
      <w:r>
        <w:t xml:space="preserve">	</w:t>
      </w:r>
      <w:r>
        <w:t xml:space="preserve">Gerretsen P, Kim J, Caravaggio F, et al. Individual determinants of</w:t>
      </w:r>
      <w:r>
        <w:t xml:space="preserve"> </w:t>
      </w:r>
      <w:r>
        <w:t xml:space="preserve">COVID</w:t>
      </w:r>
      <w:r>
        <w:t xml:space="preserve">-19 vaccine hesitancy. Inbaraj LR, ed.</w:t>
      </w:r>
      <w:r>
        <w:t xml:space="preserve"> </w:t>
      </w:r>
      <w:r>
        <w:rPr>
          <w:iCs/>
          <w:i/>
        </w:rPr>
        <w:t xml:space="preserve">PLOS</w:t>
      </w:r>
      <w:r>
        <w:rPr>
          <w:iCs/>
          <w:i/>
        </w:rPr>
        <w:t xml:space="preserve"> </w:t>
      </w:r>
      <w:r>
        <w:rPr>
          <w:iCs/>
          <w:i/>
        </w:rPr>
        <w:t xml:space="preserve">ONE</w:t>
      </w:r>
      <w:r>
        <w:t xml:space="preserve">. 2021;16(11):e0258462. doi:</w:t>
      </w:r>
      <w:hyperlink r:id="rId64">
        <w:r>
          <w:rPr>
            <w:rStyle w:val="Hyperlink"/>
          </w:rPr>
          <w:t xml:space="preserve">10.1371/journal.pone.0258462</w:t>
        </w:r>
      </w:hyperlink>
    </w:p>
    <w:bookmarkEnd w:id="65"/>
    <w:bookmarkStart w:id="67" w:name="ref-tamey2022"/>
    <w:p>
      <w:pPr>
        <w:pStyle w:val="Bibliography"/>
      </w:pPr>
      <w:r>
        <w:t xml:space="preserve">13.</w:t>
      </w:r>
      <w:r>
        <w:t xml:space="preserve"> </w:t>
      </w:r>
      <w:r>
        <w:t xml:space="preserve">	</w:t>
      </w:r>
      <w:r>
        <w:t xml:space="preserve">Yamey G, Garcia P, Hassan F, et al. It is not too late to achieve global covid-19 vaccine equity.</w:t>
      </w:r>
      <w:r>
        <w:t xml:space="preserve"> </w:t>
      </w:r>
      <w:r>
        <w:rPr>
          <w:iCs/>
          <w:i/>
        </w:rPr>
        <w:t xml:space="preserve">BMJ</w:t>
      </w:r>
      <w:r>
        <w:t xml:space="preserve">. Published online March 2022:e070650. doi:</w:t>
      </w:r>
      <w:hyperlink r:id="rId66">
        <w:r>
          <w:rPr>
            <w:rStyle w:val="Hyperlink"/>
          </w:rPr>
          <w:t xml:space="preserve">10.1136/bmj-2022-070650</w:t>
        </w:r>
      </w:hyperlink>
    </w:p>
    <w:bookmarkEnd w:id="67"/>
    <w:bookmarkStart w:id="69" w:name="ref-nafilyan2021"/>
    <w:p>
      <w:pPr>
        <w:pStyle w:val="Bibliography"/>
      </w:pPr>
      <w:r>
        <w:t xml:space="preserve">14.</w:t>
      </w:r>
      <w:r>
        <w:t xml:space="preserve"> </w:t>
      </w:r>
      <w:r>
        <w:t xml:space="preserve">	</w:t>
      </w:r>
      <w:r>
        <w:t xml:space="preserve">Nafilyan V, Dolby T, Razieh C, et al. Sociodemographic inequality in</w:t>
      </w:r>
      <w:r>
        <w:t xml:space="preserve"> </w:t>
      </w:r>
      <w:r>
        <w:t xml:space="preserve">COVID</w:t>
      </w:r>
      <w:r>
        <w:t xml:space="preserve">-19 vaccination coverage among elderly adults in england: A national linked data study.</w:t>
      </w:r>
      <w:r>
        <w:t xml:space="preserve"> </w:t>
      </w:r>
      <w:r>
        <w:rPr>
          <w:iCs/>
          <w:i/>
        </w:rPr>
        <w:t xml:space="preserve">BMJ</w:t>
      </w:r>
      <w:r>
        <w:rPr>
          <w:iCs/>
          <w:i/>
        </w:rPr>
        <w:t xml:space="preserve"> </w:t>
      </w:r>
      <w:r>
        <w:rPr>
          <w:iCs/>
          <w:i/>
        </w:rPr>
        <w:t xml:space="preserve">Open</w:t>
      </w:r>
      <w:r>
        <w:t xml:space="preserve">. 2021;11(7):e053402. doi:</w:t>
      </w:r>
      <w:hyperlink r:id="rId68">
        <w:r>
          <w:rPr>
            <w:rStyle w:val="Hyperlink"/>
          </w:rPr>
          <w:t xml:space="preserve">10.1136/bmjopen-2021-053402</w:t>
        </w:r>
      </w:hyperlink>
    </w:p>
    <w:bookmarkEnd w:id="69"/>
    <w:bookmarkStart w:id="71" w:name="ref-willis2021"/>
    <w:p>
      <w:pPr>
        <w:pStyle w:val="Bibliography"/>
      </w:pPr>
      <w:r>
        <w:t xml:space="preserve">15.</w:t>
      </w:r>
      <w:r>
        <w:t xml:space="preserve"> </w:t>
      </w:r>
      <w:r>
        <w:t xml:space="preserve">	</w:t>
      </w:r>
      <w:r>
        <w:t xml:space="preserve">Willis DE, Andersen JA, Bryant-Moore K, et al.</w:t>
      </w:r>
      <w:r>
        <w:t xml:space="preserve"> </w:t>
      </w:r>
      <w:r>
        <w:t xml:space="preserve">COVID</w:t>
      </w:r>
      <w:r>
        <w:t xml:space="preserve">-19 vaccine hesitancy: Race/ethnicity, trust, and fear.</w:t>
      </w:r>
      <w:r>
        <w:t xml:space="preserve"> </w:t>
      </w:r>
      <w:r>
        <w:rPr>
          <w:iCs/>
          <w:i/>
        </w:rPr>
        <w:t xml:space="preserve">Clinical and Translational Science</w:t>
      </w:r>
      <w:r>
        <w:t xml:space="preserve">. 2021;14(6):2200-2207. doi:</w:t>
      </w:r>
      <w:hyperlink r:id="rId70">
        <w:r>
          <w:rPr>
            <w:rStyle w:val="Hyperlink"/>
          </w:rPr>
          <w:t xml:space="preserve">10.1111/cts.13077</w:t>
        </w:r>
      </w:hyperlink>
    </w:p>
    <w:bookmarkEnd w:id="71"/>
    <w:bookmarkStart w:id="73" w:name="ref-skirrow2022"/>
    <w:p>
      <w:pPr>
        <w:pStyle w:val="Bibliography"/>
      </w:pPr>
      <w:r>
        <w:t xml:space="preserve">16.</w:t>
      </w:r>
      <w:r>
        <w:t xml:space="preserve"> </w:t>
      </w:r>
      <w:r>
        <w:t xml:space="preserve">	</w:t>
      </w:r>
      <w:r>
        <w:t xml:space="preserve">Skirrow H, Barnett S, Bell S, et al. Women’s views on accepting</w:t>
      </w:r>
      <w:r>
        <w:t xml:space="preserve"> </w:t>
      </w:r>
      <w:r>
        <w:t xml:space="preserve">COVID</w:t>
      </w:r>
      <w:r>
        <w:t xml:space="preserve">-19 vaccination during and after pregnancy, and for their babies: A multi-methods study in the</w:t>
      </w:r>
      <w:r>
        <w:t xml:space="preserve"> </w:t>
      </w:r>
      <w:r>
        <w:t xml:space="preserve">UK</w:t>
      </w:r>
      <w:r>
        <w:t xml:space="preserve">.</w:t>
      </w:r>
      <w:r>
        <w:t xml:space="preserve"> </w:t>
      </w:r>
      <w:r>
        <w:rPr>
          <w:iCs/>
          <w:i/>
        </w:rPr>
        <w:t xml:space="preserve">BMC</w:t>
      </w:r>
      <w:r>
        <w:rPr>
          <w:iCs/>
          <w:i/>
        </w:rPr>
        <w:t xml:space="preserve"> </w:t>
      </w:r>
      <w:r>
        <w:rPr>
          <w:iCs/>
          <w:i/>
        </w:rPr>
        <w:t xml:space="preserve">Pregnancy and Childbirth</w:t>
      </w:r>
      <w:r>
        <w:t xml:space="preserve">. 2022;22(1). doi:</w:t>
      </w:r>
      <w:hyperlink r:id="rId72">
        <w:r>
          <w:rPr>
            <w:rStyle w:val="Hyperlink"/>
          </w:rPr>
          <w:t xml:space="preserve">10.1186/s12884-021-04321-3</w:t>
        </w:r>
      </w:hyperlink>
    </w:p>
    <w:bookmarkEnd w:id="73"/>
    <w:bookmarkStart w:id="75" w:name="ref-stoler2021"/>
    <w:p>
      <w:pPr>
        <w:pStyle w:val="Bibliography"/>
      </w:pPr>
      <w:r>
        <w:t xml:space="preserve">17.</w:t>
      </w:r>
      <w:r>
        <w:t xml:space="preserve"> </w:t>
      </w:r>
      <w:r>
        <w:t xml:space="preserve">	</w:t>
      </w:r>
      <w:r>
        <w:t xml:space="preserve">Stoler J, Enders AM, Klofstad CA, Uscinski JE. The limits of medical trust in mitigating</w:t>
      </w:r>
      <w:r>
        <w:t xml:space="preserve"> </w:t>
      </w:r>
      <w:r>
        <w:t xml:space="preserve">COVID</w:t>
      </w:r>
      <w:r>
        <w:t xml:space="preserve">-19 vaccine hesitancy among black americans.</w:t>
      </w:r>
      <w:r>
        <w:t xml:space="preserve"> </w:t>
      </w:r>
      <w:r>
        <w:rPr>
          <w:iCs/>
          <w:i/>
        </w:rPr>
        <w:t xml:space="preserve">Journal of General Internal Medicine</w:t>
      </w:r>
      <w:r>
        <w:t xml:space="preserve">. 2021;36(11):3629-3631. doi:</w:t>
      </w:r>
      <w:hyperlink r:id="rId74">
        <w:r>
          <w:rPr>
            <w:rStyle w:val="Hyperlink"/>
          </w:rPr>
          <w:t xml:space="preserve">10.1007/s11606-021-06743-3</w:t>
        </w:r>
      </w:hyperlink>
    </w:p>
    <w:bookmarkEnd w:id="75"/>
    <w:bookmarkStart w:id="77" w:name="ref-khubchandani2021"/>
    <w:p>
      <w:pPr>
        <w:pStyle w:val="Bibliography"/>
      </w:pPr>
      <w:r>
        <w:t xml:space="preserve">18.</w:t>
      </w:r>
      <w:r>
        <w:t xml:space="preserve"> </w:t>
      </w:r>
      <w:r>
        <w:t xml:space="preserve">	</w:t>
      </w:r>
      <w:r>
        <w:t xml:space="preserve">Khubchandani J, Sharma S, Price JH, Wiblishauser MJ, Sharma M, Webb FJ.</w:t>
      </w:r>
      <w:r>
        <w:t xml:space="preserve"> </w:t>
      </w:r>
      <w:r>
        <w:t xml:space="preserve">COVID</w:t>
      </w:r>
      <w:r>
        <w:t xml:space="preserve">-19 vaccination hesitancy in the united states: A rapid national assessment.</w:t>
      </w:r>
      <w:r>
        <w:t xml:space="preserve"> </w:t>
      </w:r>
      <w:r>
        <w:rPr>
          <w:iCs/>
          <w:i/>
        </w:rPr>
        <w:t xml:space="preserve">Journal of Community Health</w:t>
      </w:r>
      <w:r>
        <w:t xml:space="preserve">. 2021;46(2):270-277. doi:</w:t>
      </w:r>
      <w:hyperlink r:id="rId76">
        <w:r>
          <w:rPr>
            <w:rStyle w:val="Hyperlink"/>
          </w:rPr>
          <w:t xml:space="preserve">10.1007/s10900-020-00958-x</w:t>
        </w:r>
      </w:hyperlink>
    </w:p>
    <w:bookmarkEnd w:id="77"/>
    <w:bookmarkStart w:id="79" w:name="ref-guay2022"/>
    <w:p>
      <w:pPr>
        <w:pStyle w:val="Bibliography"/>
      </w:pPr>
      <w:r>
        <w:t xml:space="preserve">19.</w:t>
      </w:r>
      <w:r>
        <w:t xml:space="preserve"> </w:t>
      </w:r>
      <w:r>
        <w:t xml:space="preserve">	</w:t>
      </w:r>
      <w:r>
        <w:t xml:space="preserve">Guay M, Maquiling A, Chen R, et al. Measuring inequalities in</w:t>
      </w:r>
      <w:r>
        <w:t xml:space="preserve"> </w:t>
      </w:r>
      <w:r>
        <w:t xml:space="preserve">COVID</w:t>
      </w:r>
      <w:r>
        <w:t xml:space="preserve">-19 vaccination uptake and intent: Results from the canadian community health survey 2021.</w:t>
      </w:r>
      <w:r>
        <w:t xml:space="preserve"> </w:t>
      </w:r>
      <w:r>
        <w:rPr>
          <w:iCs/>
          <w:i/>
        </w:rPr>
        <w:t xml:space="preserve">BMC</w:t>
      </w:r>
      <w:r>
        <w:rPr>
          <w:iCs/>
          <w:i/>
        </w:rPr>
        <w:t xml:space="preserve"> </w:t>
      </w:r>
      <w:r>
        <w:rPr>
          <w:iCs/>
          <w:i/>
        </w:rPr>
        <w:t xml:space="preserve">Public Health</w:t>
      </w:r>
      <w:r>
        <w:t xml:space="preserve">. 2022;22(1). doi:</w:t>
      </w:r>
      <w:hyperlink r:id="rId78">
        <w:r>
          <w:rPr>
            <w:rStyle w:val="Hyperlink"/>
          </w:rPr>
          <w:t xml:space="preserve">10.1186/s12889-022-14090-z</w:t>
        </w:r>
      </w:hyperlink>
    </w:p>
    <w:bookmarkEnd w:id="79"/>
    <w:bookmarkStart w:id="81" w:name="ref-muhajarine2021"/>
    <w:p>
      <w:pPr>
        <w:pStyle w:val="Bibliography"/>
      </w:pPr>
      <w:r>
        <w:t xml:space="preserve">20.</w:t>
      </w:r>
      <w:r>
        <w:t xml:space="preserve"> </w:t>
      </w:r>
      <w:r>
        <w:t xml:space="preserve">	</w:t>
      </w:r>
      <w:r>
        <w:t xml:space="preserve">Muhajarine N, Adeyinka DA, McCutcheon J, Green KL, Fahlman M, Kallio N.</w:t>
      </w:r>
      <w:r>
        <w:t xml:space="preserve"> </w:t>
      </w:r>
      <w:r>
        <w:t xml:space="preserve">COVID</w:t>
      </w:r>
      <w:r>
        <w:t xml:space="preserve">-19 vaccine hesitancy and refusal and associated factors in an adult population in saskatchewan, canada: Evidence from predictive modelling. Gesser-Edelsburg A, ed.</w:t>
      </w:r>
      <w:r>
        <w:t xml:space="preserve"> </w:t>
      </w:r>
      <w:r>
        <w:rPr>
          <w:iCs/>
          <w:i/>
        </w:rPr>
        <w:t xml:space="preserve">PLOS</w:t>
      </w:r>
      <w:r>
        <w:rPr>
          <w:iCs/>
          <w:i/>
        </w:rPr>
        <w:t xml:space="preserve"> </w:t>
      </w:r>
      <w:r>
        <w:rPr>
          <w:iCs/>
          <w:i/>
        </w:rPr>
        <w:t xml:space="preserve">ONE</w:t>
      </w:r>
      <w:r>
        <w:t xml:space="preserve">. 2021;16(11):e0259513. doi:</w:t>
      </w:r>
      <w:hyperlink r:id="rId80">
        <w:r>
          <w:rPr>
            <w:rStyle w:val="Hyperlink"/>
          </w:rPr>
          <w:t xml:space="preserve">10.1371/journal.pone.0259513</w:t>
        </w:r>
      </w:hyperlink>
    </w:p>
    <w:bookmarkEnd w:id="81"/>
    <w:bookmarkStart w:id="83" w:name="ref-hussain2022"/>
    <w:p>
      <w:pPr>
        <w:pStyle w:val="Bibliography"/>
      </w:pPr>
      <w:r>
        <w:t xml:space="preserve">21.</w:t>
      </w:r>
      <w:r>
        <w:t xml:space="preserve"> </w:t>
      </w:r>
      <w:r>
        <w:t xml:space="preserve">	</w:t>
      </w:r>
      <w:r>
        <w:t xml:space="preserve">Hussain B, Latif A, Timmons S, Nkhoma K, Nellums LB. Overcoming</w:t>
      </w:r>
      <w:r>
        <w:t xml:space="preserve"> </w:t>
      </w:r>
      <w:r>
        <w:t xml:space="preserve">COVID</w:t>
      </w:r>
      <w:r>
        <w:t xml:space="preserve">-19 vaccine hesitancy among ethnic minorities: A systematic review of</w:t>
      </w:r>
      <w:r>
        <w:t xml:space="preserve"> </w:t>
      </w:r>
      <w:r>
        <w:t xml:space="preserve">UK</w:t>
      </w:r>
      <w:r>
        <w:t xml:space="preserve"> </w:t>
      </w:r>
      <w:r>
        <w:t xml:space="preserve">studies.</w:t>
      </w:r>
      <w:r>
        <w:t xml:space="preserve"> </w:t>
      </w:r>
      <w:r>
        <w:rPr>
          <w:iCs/>
          <w:i/>
        </w:rPr>
        <w:t xml:space="preserve">Vaccine</w:t>
      </w:r>
      <w:r>
        <w:t xml:space="preserve">. 2022;40(25):3413-3432. doi:</w:t>
      </w:r>
      <w:hyperlink r:id="rId82">
        <w:r>
          <w:rPr>
            <w:rStyle w:val="Hyperlink"/>
          </w:rPr>
          <w:t xml:space="preserve">10.1016/j.vaccine.2022.04.030</w:t>
        </w:r>
      </w:hyperlink>
    </w:p>
    <w:bookmarkEnd w:id="83"/>
    <w:bookmarkStart w:id="85" w:name="ref-mosby2021"/>
    <w:p>
      <w:pPr>
        <w:pStyle w:val="Bibliography"/>
      </w:pPr>
      <w:r>
        <w:t xml:space="preserve">22.</w:t>
      </w:r>
      <w:r>
        <w:t xml:space="preserve"> </w:t>
      </w:r>
      <w:r>
        <w:t xml:space="preserve">	</w:t>
      </w:r>
      <w:r>
        <w:t xml:space="preserve">Mosby I, Swidrovich J. Medical experimentation and the roots of</w:t>
      </w:r>
      <w:r>
        <w:t xml:space="preserve"> </w:t>
      </w:r>
      <w:r>
        <w:t xml:space="preserve">COVID</w:t>
      </w:r>
      <w:r>
        <w:t xml:space="preserve">-19 vaccine hesitancy among indigenous peoples in canada.</w:t>
      </w:r>
      <w:r>
        <w:t xml:space="preserve"> </w:t>
      </w:r>
      <w:r>
        <w:rPr>
          <w:iCs/>
          <w:i/>
        </w:rPr>
        <w:t xml:space="preserve">Canadian Medical Association Journal</w:t>
      </w:r>
      <w:r>
        <w:t xml:space="preserve">. 2021;193(11):E381-E383. doi:</w:t>
      </w:r>
      <w:hyperlink r:id="rId84">
        <w:r>
          <w:rPr>
            <w:rStyle w:val="Hyperlink"/>
          </w:rPr>
          <w:t xml:space="preserve">10.1503/cmaj.210112</w:t>
        </w:r>
      </w:hyperlink>
    </w:p>
    <w:bookmarkEnd w:id="85"/>
    <w:bookmarkStart w:id="87" w:name="ref-bogart2021"/>
    <w:p>
      <w:pPr>
        <w:pStyle w:val="Bibliography"/>
      </w:pPr>
      <w:r>
        <w:t xml:space="preserve">23.</w:t>
      </w:r>
      <w:r>
        <w:t xml:space="preserve"> </w:t>
      </w:r>
      <w:r>
        <w:t xml:space="preserve">	</w:t>
      </w:r>
      <w:r>
        <w:t xml:space="preserve">Bogart LM, Ojikutu BO, Tyagi K, et al.</w:t>
      </w:r>
      <w:r>
        <w:t xml:space="preserve"> </w:t>
      </w:r>
      <w:r>
        <w:t xml:space="preserve">COVID</w:t>
      </w:r>
      <w:r>
        <w:t xml:space="preserve">-19 related medical mistrust, health impacts, and potential vaccine hesitancy among black americans living with</w:t>
      </w:r>
      <w:r>
        <w:t xml:space="preserve"> </w:t>
      </w:r>
      <w:r>
        <w:t xml:space="preserve">HIV</w:t>
      </w:r>
      <w:r>
        <w:t xml:space="preserve">.</w:t>
      </w:r>
      <w:r>
        <w:t xml:space="preserve"> </w:t>
      </w:r>
      <w:r>
        <w:rPr>
          <w:iCs/>
          <w:i/>
        </w:rPr>
        <w:t xml:space="preserve">JAIDS</w:t>
      </w:r>
      <w:r>
        <w:rPr>
          <w:iCs/>
          <w:i/>
        </w:rPr>
        <w:t xml:space="preserve"> </w:t>
      </w:r>
      <w:r>
        <w:rPr>
          <w:iCs/>
          <w:i/>
        </w:rPr>
        <w:t xml:space="preserve">Journal of Acquired Immune Deficiency Syndromes</w:t>
      </w:r>
      <w:r>
        <w:t xml:space="preserve">. 2021;86(2):200-207. doi:</w:t>
      </w:r>
      <w:hyperlink r:id="rId86">
        <w:r>
          <w:rPr>
            <w:rStyle w:val="Hyperlink"/>
          </w:rPr>
          <w:t xml:space="preserve">10.1097/qai.0000000000002570</w:t>
        </w:r>
      </w:hyperlink>
    </w:p>
    <w:bookmarkEnd w:id="87"/>
    <w:bookmarkStart w:id="89" w:name="ref-freeman2020"/>
    <w:p>
      <w:pPr>
        <w:pStyle w:val="Bibliography"/>
      </w:pPr>
      <w:r>
        <w:t xml:space="preserve">24.</w:t>
      </w:r>
      <w:r>
        <w:t xml:space="preserve"> </w:t>
      </w:r>
      <w:r>
        <w:t xml:space="preserve">	</w:t>
      </w:r>
      <w:r>
        <w:t xml:space="preserve">Freeman D, Loe BS, Chadwick A, et al.</w:t>
      </w:r>
      <w:r>
        <w:t xml:space="preserve"> </w:t>
      </w:r>
      <w:r>
        <w:t xml:space="preserve">COVID</w:t>
      </w:r>
      <w:r>
        <w:t xml:space="preserve">-19 vaccine hesitancy in the</w:t>
      </w:r>
      <w:r>
        <w:t xml:space="preserve"> </w:t>
      </w:r>
      <w:r>
        <w:t xml:space="preserve">UK</w:t>
      </w:r>
      <w:r>
        <w:t xml:space="preserve">: The oxford coronavirus explanations, attitudes, and narratives survey (oceans)</w:t>
      </w:r>
      <w:r>
        <w:t xml:space="preserve"> </w:t>
      </w:r>
      <w:r>
        <w:t xml:space="preserve">II</w:t>
      </w:r>
      <w:r>
        <w:t xml:space="preserve">.</w:t>
      </w:r>
      <w:r>
        <w:t xml:space="preserve"> </w:t>
      </w:r>
      <w:r>
        <w:rPr>
          <w:iCs/>
          <w:i/>
        </w:rPr>
        <w:t xml:space="preserve">Psychological Medicine</w:t>
      </w:r>
      <w:r>
        <w:t xml:space="preserve">. 2020;52(14):3127-3141. doi:</w:t>
      </w:r>
      <w:hyperlink r:id="rId88">
        <w:r>
          <w:rPr>
            <w:rStyle w:val="Hyperlink"/>
          </w:rPr>
          <w:t xml:space="preserve">10.1017/s0033291720005188</w:t>
        </w:r>
      </w:hyperlink>
    </w:p>
    <w:bookmarkEnd w:id="89"/>
    <w:bookmarkStart w:id="91" w:name="ref-malik2020"/>
    <w:p>
      <w:pPr>
        <w:pStyle w:val="Bibliography"/>
      </w:pPr>
      <w:r>
        <w:t xml:space="preserve">25.</w:t>
      </w:r>
      <w:r>
        <w:t xml:space="preserve"> </w:t>
      </w:r>
      <w:r>
        <w:t xml:space="preserve">	</w:t>
      </w:r>
      <w:r>
        <w:t xml:space="preserve">Malik AA, McFadden SM, Elharake J, Omer SB. Determinants of</w:t>
      </w:r>
      <w:r>
        <w:t xml:space="preserve"> </w:t>
      </w:r>
      <w:r>
        <w:t xml:space="preserve">COVID</w:t>
      </w:r>
      <w:r>
        <w:t xml:space="preserve">-19 vaccine acceptance in the</w:t>
      </w:r>
      <w:r>
        <w:t xml:space="preserve"> </w:t>
      </w:r>
      <w:r>
        <w:t xml:space="preserve">US</w:t>
      </w:r>
      <w:r>
        <w:t xml:space="preserve">.</w:t>
      </w:r>
      <w:r>
        <w:t xml:space="preserve"> </w:t>
      </w:r>
      <w:r>
        <w:rPr>
          <w:iCs/>
          <w:i/>
        </w:rPr>
        <w:t xml:space="preserve">EClinicalMedicine</w:t>
      </w:r>
      <w:r>
        <w:t xml:space="preserve">. 2020;26:100495. doi:</w:t>
      </w:r>
      <w:hyperlink r:id="rId90">
        <w:r>
          <w:rPr>
            <w:rStyle w:val="Hyperlink"/>
          </w:rPr>
          <w:t xml:space="preserve">10.1016/j.eclinm.2020.100495</w:t>
        </w:r>
      </w:hyperlink>
    </w:p>
    <w:bookmarkEnd w:id="91"/>
    <w:bookmarkStart w:id="93" w:name="ref-nguyen2021"/>
    <w:p>
      <w:pPr>
        <w:pStyle w:val="Bibliography"/>
      </w:pPr>
      <w:r>
        <w:t xml:space="preserve">26.</w:t>
      </w:r>
      <w:r>
        <w:t xml:space="preserve"> </w:t>
      </w:r>
      <w:r>
        <w:t xml:space="preserve">	</w:t>
      </w:r>
      <w:r>
        <w:t xml:space="preserve">Nguyen KH, Nguyen K, Corlin L, Allen JD, Chung M. Changes in</w:t>
      </w:r>
      <w:r>
        <w:t xml:space="preserve"> </w:t>
      </w:r>
      <w:r>
        <w:t xml:space="preserve">COVID</w:t>
      </w:r>
      <w:r>
        <w:t xml:space="preserve">-19 vaccination receipt and intention to vaccinate by socioeconomic characteristics and geographic area, united states, january 6</w:t>
      </w:r>
      <w:r>
        <w:t xml:space="preserve"> </w:t>
      </w:r>
      <w:r>
        <w:t xml:space="preserve"> </w:t>
      </w:r>
      <w:r>
        <w:t xml:space="preserve">march 29, 2021.</w:t>
      </w:r>
      <w:r>
        <w:t xml:space="preserve"> </w:t>
      </w:r>
      <w:r>
        <w:rPr>
          <w:iCs/>
          <w:i/>
        </w:rPr>
        <w:t xml:space="preserve">Annals of Medicine</w:t>
      </w:r>
      <w:r>
        <w:t xml:space="preserve">. 2021;53(1):1419-1428. doi:</w:t>
      </w:r>
      <w:hyperlink r:id="rId92">
        <w:r>
          <w:rPr>
            <w:rStyle w:val="Hyperlink"/>
          </w:rPr>
          <w:t xml:space="preserve">10.1080/07853890.2021.1957998</w:t>
        </w:r>
      </w:hyperlink>
    </w:p>
    <w:bookmarkEnd w:id="93"/>
    <w:bookmarkStart w:id="95" w:name="ref-mollalo2021"/>
    <w:p>
      <w:pPr>
        <w:pStyle w:val="Bibliography"/>
      </w:pPr>
      <w:r>
        <w:t xml:space="preserve">27.</w:t>
      </w:r>
      <w:r>
        <w:t xml:space="preserve"> </w:t>
      </w:r>
      <w:r>
        <w:t xml:space="preserve">	</w:t>
      </w:r>
      <w:r>
        <w:t xml:space="preserve">Mollalo A, Tatar M. Spatial modeling of</w:t>
      </w:r>
      <w:r>
        <w:t xml:space="preserve"> </w:t>
      </w:r>
      <w:r>
        <w:t xml:space="preserve">COVID</w:t>
      </w:r>
      <w:r>
        <w:t xml:space="preserve">-19 vaccine hesitancy in the united states.</w:t>
      </w:r>
      <w:r>
        <w:t xml:space="preserve"> </w:t>
      </w:r>
      <w:r>
        <w:rPr>
          <w:iCs/>
          <w:i/>
        </w:rPr>
        <w:t xml:space="preserve">International Journal of Environmental Research and Public Health</w:t>
      </w:r>
      <w:r>
        <w:t xml:space="preserve">. 2021;18(18):9488. doi:</w:t>
      </w:r>
      <w:hyperlink r:id="rId94">
        <w:r>
          <w:rPr>
            <w:rStyle w:val="Hyperlink"/>
          </w:rPr>
          <w:t xml:space="preserve">10.3390/ijerph18189488</w:t>
        </w:r>
      </w:hyperlink>
    </w:p>
    <w:bookmarkEnd w:id="95"/>
    <w:bookmarkStart w:id="97" w:name="ref-yang2022"/>
    <w:p>
      <w:pPr>
        <w:pStyle w:val="Bibliography"/>
      </w:pPr>
      <w:r>
        <w:t xml:space="preserve">28.</w:t>
      </w:r>
      <w:r>
        <w:t xml:space="preserve"> </w:t>
      </w:r>
      <w:r>
        <w:t xml:space="preserve">	</w:t>
      </w:r>
      <w:r>
        <w:t xml:space="preserve">Yang TC, Matthews SA, Sun F. Multiscale dimensions of spatial process:</w:t>
      </w:r>
      <w:r>
        <w:t xml:space="preserve"> </w:t>
      </w:r>
      <w:r>
        <w:t xml:space="preserve">COVID</w:t>
      </w:r>
      <w:r>
        <w:t xml:space="preserve">-19 fully vaccinated rates in u.s. counties.</w:t>
      </w:r>
      <w:r>
        <w:t xml:space="preserve"> </w:t>
      </w:r>
      <w:r>
        <w:rPr>
          <w:iCs/>
          <w:i/>
        </w:rPr>
        <w:t xml:space="preserve">American Journal of Preventive Medicine</w:t>
      </w:r>
      <w:r>
        <w:t xml:space="preserve">. 2022;63(6):954-961. doi:</w:t>
      </w:r>
      <w:hyperlink r:id="rId96">
        <w:r>
          <w:rPr>
            <w:rStyle w:val="Hyperlink"/>
          </w:rPr>
          <w:t xml:space="preserve">10.1016/j.amepre.2022.06.006</w:t>
        </w:r>
      </w:hyperlink>
    </w:p>
    <w:bookmarkEnd w:id="97"/>
    <w:bookmarkStart w:id="99" w:name="ref-tiu2022"/>
    <w:p>
      <w:pPr>
        <w:pStyle w:val="Bibliography"/>
      </w:pPr>
      <w:r>
        <w:t xml:space="preserve">29.</w:t>
      </w:r>
      <w:r>
        <w:t xml:space="preserve"> </w:t>
      </w:r>
      <w:r>
        <w:t xml:space="preserve">	</w:t>
      </w:r>
      <w:r>
        <w:t xml:space="preserve">Tiu A, Susswein Z, Merritt A, Bansal S. Characterizing the spatiotemporal heterogeneity of the</w:t>
      </w:r>
      <w:r>
        <w:t xml:space="preserve"> </w:t>
      </w:r>
      <w:r>
        <w:t xml:space="preserve">COVID</w:t>
      </w:r>
      <w:r>
        <w:t xml:space="preserve">-19 vaccination landscape.</w:t>
      </w:r>
      <w:r>
        <w:t xml:space="preserve"> </w:t>
      </w:r>
      <w:r>
        <w:rPr>
          <w:iCs/>
          <w:i/>
        </w:rPr>
        <w:t xml:space="preserve">American Journal of Epidemiology</w:t>
      </w:r>
      <w:r>
        <w:t xml:space="preserve">. 2022;191(10):1792-1802. doi:</w:t>
      </w:r>
      <w:hyperlink r:id="rId98">
        <w:r>
          <w:rPr>
            <w:rStyle w:val="Hyperlink"/>
          </w:rPr>
          <w:t xml:space="preserve">10.1093/aje/kwac080</w:t>
        </w:r>
      </w:hyperlink>
    </w:p>
    <w:bookmarkEnd w:id="99"/>
    <w:bookmarkStart w:id="101" w:name="ref-bhuiyan2022"/>
    <w:p>
      <w:pPr>
        <w:pStyle w:val="Bibliography"/>
      </w:pPr>
      <w:r>
        <w:t xml:space="preserve">30.</w:t>
      </w:r>
      <w:r>
        <w:t xml:space="preserve"> </w:t>
      </w:r>
      <w:r>
        <w:t xml:space="preserve">	</w:t>
      </w:r>
      <w:r>
        <w:t xml:space="preserve">Bhuiyan MAN, Davis TC, Arnold CL, et al. Using the social vulnerability index to assess</w:t>
      </w:r>
      <w:r>
        <w:t xml:space="preserve"> </w:t>
      </w:r>
      <w:r>
        <w:t xml:space="preserve">COVID</w:t>
      </w:r>
      <w:r>
        <w:t xml:space="preserve">-19 vaccine uptake in louisiana.</w:t>
      </w:r>
      <w:r>
        <w:t xml:space="preserve"> </w:t>
      </w:r>
      <w:r>
        <w:rPr>
          <w:iCs/>
          <w:i/>
        </w:rPr>
        <w:t xml:space="preserve">GeoJournal</w:t>
      </w:r>
      <w:r>
        <w:t xml:space="preserve">. Published online December 2022. doi:</w:t>
      </w:r>
      <w:hyperlink r:id="rId100">
        <w:r>
          <w:rPr>
            <w:rStyle w:val="Hyperlink"/>
          </w:rPr>
          <w:t xml:space="preserve">10.1007/s10708-022-10802-5</w:t>
        </w:r>
      </w:hyperlink>
    </w:p>
    <w:bookmarkEnd w:id="101"/>
    <w:bookmarkStart w:id="103" w:name="ref-wood2022"/>
    <w:p>
      <w:pPr>
        <w:pStyle w:val="Bibliography"/>
      </w:pPr>
      <w:r>
        <w:t xml:space="preserve">31.</w:t>
      </w:r>
      <w:r>
        <w:t xml:space="preserve"> </w:t>
      </w:r>
      <w:r>
        <w:t xml:space="preserve">	</w:t>
      </w:r>
      <w:r>
        <w:t xml:space="preserve">Wood AJ, MacKintosh AM, Stead M, Kao RR. Predicting future spatial patterns in</w:t>
      </w:r>
      <w:r>
        <w:t xml:space="preserve"> </w:t>
      </w:r>
      <w:r>
        <w:t xml:space="preserve">COVID</w:t>
      </w:r>
      <w:r>
        <w:t xml:space="preserve">-19 booster vaccine uptake. Published online September 2022. doi:</w:t>
      </w:r>
      <w:hyperlink r:id="rId102">
        <w:r>
          <w:rPr>
            <w:rStyle w:val="Hyperlink"/>
          </w:rPr>
          <w:t xml:space="preserve">10.1101/2022.08.30.22279415</w:t>
        </w:r>
      </w:hyperlink>
    </w:p>
    <w:bookmarkEnd w:id="103"/>
    <w:bookmarkStart w:id="105" w:name="ref-choi2021"/>
    <w:p>
      <w:pPr>
        <w:pStyle w:val="Bibliography"/>
      </w:pPr>
      <w:r>
        <w:t xml:space="preserve">32.</w:t>
      </w:r>
      <w:r>
        <w:t xml:space="preserve"> </w:t>
      </w:r>
      <w:r>
        <w:t xml:space="preserve">	</w:t>
      </w:r>
      <w:r>
        <w:t xml:space="preserve">Choi KH, Denice PA, Ramaj S. Vaccine and</w:t>
      </w:r>
      <w:r>
        <w:t xml:space="preserve"> </w:t>
      </w:r>
      <w:r>
        <w:t xml:space="preserve">COVID</w:t>
      </w:r>
      <w:r>
        <w:t xml:space="preserve">-19 trajectories.</w:t>
      </w:r>
      <w:r>
        <w:t xml:space="preserve"> </w:t>
      </w:r>
      <w:r>
        <w:rPr>
          <w:iCs/>
          <w:i/>
        </w:rPr>
        <w:t xml:space="preserve">Socius: Sociological Research for a Dynamic World</w:t>
      </w:r>
      <w:r>
        <w:t xml:space="preserve">. 2021;7:237802312110529. doi:</w:t>
      </w:r>
      <w:hyperlink r:id="rId104">
        <w:r>
          <w:rPr>
            <w:rStyle w:val="Hyperlink"/>
          </w:rPr>
          <w:t xml:space="preserve">10.1177/23780231211052946</w:t>
        </w:r>
      </w:hyperlink>
    </w:p>
    <w:bookmarkEnd w:id="105"/>
    <w:bookmarkStart w:id="107" w:name="ref-mckinnon2021"/>
    <w:p>
      <w:pPr>
        <w:pStyle w:val="Bibliography"/>
      </w:pPr>
      <w:r>
        <w:t xml:space="preserve">33.</w:t>
      </w:r>
      <w:r>
        <w:t xml:space="preserve"> </w:t>
      </w:r>
      <w:r>
        <w:t xml:space="preserve">	</w:t>
      </w:r>
      <w:r>
        <w:t xml:space="preserve">McKinnon B, Quach C, Dubé Ève, Nguyen CT, Zinszer K. Social inequalities in</w:t>
      </w:r>
      <w:r>
        <w:t xml:space="preserve"> </w:t>
      </w:r>
      <w:r>
        <w:t xml:space="preserve">COVID</w:t>
      </w:r>
      <w:r>
        <w:t xml:space="preserve">-19 vaccine acceptance and uptake for children and adolescents in montreal, canada.</w:t>
      </w:r>
      <w:r>
        <w:t xml:space="preserve"> </w:t>
      </w:r>
      <w:r>
        <w:rPr>
          <w:iCs/>
          <w:i/>
        </w:rPr>
        <w:t xml:space="preserve">Vaccine</w:t>
      </w:r>
      <w:r>
        <w:t xml:space="preserve">. 2021;39(49):7140-7145. doi:</w:t>
      </w:r>
      <w:hyperlink r:id="rId106">
        <w:r>
          <w:rPr>
            <w:rStyle w:val="Hyperlink"/>
          </w:rPr>
          <w:t xml:space="preserve">10.1016/j.vaccine.2021.10.077</w:t>
        </w:r>
      </w:hyperlink>
    </w:p>
    <w:bookmarkEnd w:id="107"/>
    <w:bookmarkStart w:id="109" w:name="ref-naci2023"/>
    <w:p>
      <w:pPr>
        <w:pStyle w:val="Bibliography"/>
      </w:pPr>
      <w:r>
        <w:t xml:space="preserve">34.</w:t>
      </w:r>
      <w:r>
        <w:t xml:space="preserve"> </w:t>
      </w:r>
      <w:r>
        <w:t xml:space="preserve">	</w:t>
      </w:r>
      <w:r>
        <w:t xml:space="preserve">National Advisory Committee on Immunization (NACI).</w:t>
      </w:r>
      <w:r>
        <w:t xml:space="preserve"> </w:t>
      </w:r>
      <w:r>
        <w:rPr>
          <w:iCs/>
          <w:i/>
        </w:rPr>
        <w:t xml:space="preserve">Guidance on an Additional COVID-19 Booster Dose in the Spring of 2023 for Individuals at High Risk of Severe Illness Due to COVID-19</w:t>
      </w:r>
      <w:r>
        <w:t xml:space="preserve">. Public Health Agency of Canada; 2023.</w:t>
      </w:r>
      <w:r>
        <w:t xml:space="preserve"> </w:t>
      </w:r>
      <w:hyperlink r:id="rId108">
        <w:r>
          <w:rPr>
            <w:rStyle w:val="Hyperlink"/>
          </w:rPr>
          <w:t xml:space="preserve">https://www.canada.ca/en/public-health/services/publications/vaccines-immunization/national-advisory-committee-immunization-guidance-additional-covid-19-booster-dose-spring-2023-individuals-high-risk-severe-illness-due-covid-19.html</w:t>
        </w:r>
      </w:hyperlink>
    </w:p>
    <w:bookmarkEnd w:id="109"/>
    <w:bookmarkStart w:id="111" w:name="ref-tsasis2012"/>
    <w:p>
      <w:pPr>
        <w:pStyle w:val="Bibliography"/>
      </w:pPr>
      <w:r>
        <w:t xml:space="preserve">35.</w:t>
      </w:r>
      <w:r>
        <w:t xml:space="preserve"> </w:t>
      </w:r>
      <w:r>
        <w:t xml:space="preserve">	</w:t>
      </w:r>
      <w:r>
        <w:t xml:space="preserve">Tsasis P, Evans JM, Owen S. Reframing the challenges to integrated care: A complex-adaptive systems perspective.</w:t>
      </w:r>
      <w:r>
        <w:t xml:space="preserve"> </w:t>
      </w:r>
      <w:r>
        <w:rPr>
          <w:iCs/>
          <w:i/>
        </w:rPr>
        <w:t xml:space="preserve">International Journal of Integrated Care</w:t>
      </w:r>
      <w:r>
        <w:t xml:space="preserve">. 2012;12(5). doi:</w:t>
      </w:r>
      <w:hyperlink r:id="rId110">
        <w:r>
          <w:rPr>
            <w:rStyle w:val="Hyperlink"/>
          </w:rPr>
          <w:t xml:space="preserve">10.5334/ijic.843</w:t>
        </w:r>
      </w:hyperlink>
    </w:p>
    <w:bookmarkEnd w:id="111"/>
    <w:bookmarkStart w:id="113" w:name="ref-muratov2018"/>
    <w:p>
      <w:pPr>
        <w:pStyle w:val="Bibliography"/>
      </w:pPr>
      <w:r>
        <w:t xml:space="preserve">36.</w:t>
      </w:r>
      <w:r>
        <w:t xml:space="preserve"> </w:t>
      </w:r>
      <w:r>
        <w:t xml:space="preserve">	</w:t>
      </w:r>
      <w:r>
        <w:t xml:space="preserve">Muratov S, Lee J, Holbrook A, et al. Regional variation in healthcare spending and mortality among senior high-cost healthcare users in ontario, canada: A retrospective matched cohort study.</w:t>
      </w:r>
      <w:r>
        <w:t xml:space="preserve"> </w:t>
      </w:r>
      <w:r>
        <w:rPr>
          <w:iCs/>
          <w:i/>
        </w:rPr>
        <w:t xml:space="preserve">BMC</w:t>
      </w:r>
      <w:r>
        <w:rPr>
          <w:iCs/>
          <w:i/>
        </w:rPr>
        <w:t xml:space="preserve"> </w:t>
      </w:r>
      <w:r>
        <w:rPr>
          <w:iCs/>
          <w:i/>
        </w:rPr>
        <w:t xml:space="preserve">Geriatrics</w:t>
      </w:r>
      <w:r>
        <w:t xml:space="preserve">. 2018;18(1). doi:</w:t>
      </w:r>
      <w:hyperlink r:id="rId112">
        <w:r>
          <w:rPr>
            <w:rStyle w:val="Hyperlink"/>
          </w:rPr>
          <w:t xml:space="preserve">10.1186/s12877-018-0952-7</w:t>
        </w:r>
      </w:hyperlink>
    </w:p>
    <w:bookmarkEnd w:id="113"/>
    <w:bookmarkStart w:id="115" w:name="ref-dong2022"/>
    <w:p>
      <w:pPr>
        <w:pStyle w:val="Bibliography"/>
      </w:pPr>
      <w:r>
        <w:t xml:space="preserve">37.</w:t>
      </w:r>
      <w:r>
        <w:t xml:space="preserve"> </w:t>
      </w:r>
      <w:r>
        <w:t xml:space="preserve">	</w:t>
      </w:r>
      <w:r>
        <w:t xml:space="preserve">Dong L, Sahu R, Black R. Governance in the transformational journey toward integrated healthcare: The case of ontario.</w:t>
      </w:r>
      <w:r>
        <w:t xml:space="preserve"> </w:t>
      </w:r>
      <w:r>
        <w:rPr>
          <w:iCs/>
          <w:i/>
        </w:rPr>
        <w:t xml:space="preserve">Journal of Information Technology Teaching Cases</w:t>
      </w:r>
      <w:r>
        <w:t xml:space="preserve">. Published online December 2022:204388692211473. doi:</w:t>
      </w:r>
      <w:hyperlink r:id="rId114">
        <w:r>
          <w:rPr>
            <w:rStyle w:val="Hyperlink"/>
          </w:rPr>
          <w:t xml:space="preserve">10.1177/20438869221147313</w:t>
        </w:r>
      </w:hyperlink>
    </w:p>
    <w:bookmarkEnd w:id="115"/>
    <w:bookmarkStart w:id="117" w:name="ref-lysyk2015"/>
    <w:p>
      <w:pPr>
        <w:pStyle w:val="Bibliography"/>
      </w:pPr>
      <w:r>
        <w:t xml:space="preserve">38.</w:t>
      </w:r>
      <w:r>
        <w:t xml:space="preserve"> </w:t>
      </w:r>
      <w:r>
        <w:t xml:space="preserve">	</w:t>
      </w:r>
      <w:r>
        <w:t xml:space="preserve">Auditor General of Ontario O of the, ed. Annual</w:t>
      </w:r>
      <w:r>
        <w:t xml:space="preserve"> </w:t>
      </w:r>
      <w:r>
        <w:t xml:space="preserve">R</w:t>
      </w:r>
      <w:r>
        <w:t xml:space="preserve">eport 2015. In:</w:t>
      </w:r>
      <w:r>
        <w:t xml:space="preserve"> </w:t>
      </w:r>
      <w:r>
        <w:rPr>
          <w:iCs/>
          <w:i/>
        </w:rPr>
        <w:t xml:space="preserve">Section 3.08: LHINs - Local Health Integration Networks</w:t>
      </w:r>
      <w:r>
        <w:t xml:space="preserve">. Queen’s Printer for Ontario; 2015. Accessed May 12, 2023.</w:t>
      </w:r>
      <w:r>
        <w:t xml:space="preserve"> </w:t>
      </w:r>
      <w:hyperlink r:id="rId116">
        <w:r>
          <w:rPr>
            <w:rStyle w:val="Hyperlink"/>
          </w:rPr>
          <w:t xml:space="preserve">https://www.auditor.on.ca/en/content/annualreports/arreports/en15/3.08en15.pdf</w:t>
        </w:r>
      </w:hyperlink>
    </w:p>
    <w:bookmarkEnd w:id="117"/>
    <w:bookmarkStart w:id="119" w:name="ref-lysyk2016"/>
    <w:p>
      <w:pPr>
        <w:pStyle w:val="Bibliography"/>
      </w:pPr>
      <w:r>
        <w:t xml:space="preserve">39.</w:t>
      </w:r>
      <w:r>
        <w:t xml:space="preserve"> </w:t>
      </w:r>
      <w:r>
        <w:t xml:space="preserve">	</w:t>
      </w:r>
      <w:r>
        <w:t xml:space="preserve">Auditor General of Ontario O of the, ed. Annual</w:t>
      </w:r>
      <w:r>
        <w:t xml:space="preserve"> </w:t>
      </w:r>
      <w:r>
        <w:t xml:space="preserve">R</w:t>
      </w:r>
      <w:r>
        <w:t xml:space="preserve">eport 2016. In:</w:t>
      </w:r>
      <w:r>
        <w:t xml:space="preserve"> </w:t>
      </w:r>
      <w:r>
        <w:rPr>
          <w:iCs/>
          <w:i/>
        </w:rPr>
        <w:t xml:space="preserve">Section 3.03: Electronic Health Records’ Implementation Status</w:t>
      </w:r>
      <w:r>
        <w:t xml:space="preserve">. Queen’s Printer for Ontario; 2016. Accessed May 12, 2023.</w:t>
      </w:r>
      <w:r>
        <w:t xml:space="preserve"> </w:t>
      </w:r>
      <w:hyperlink r:id="rId118">
        <w:r>
          <w:rPr>
            <w:rStyle w:val="Hyperlink"/>
          </w:rPr>
          <w:t xml:space="preserve">https://www.auditor.on.ca/en/content/annualreports/arreports/en16/v1_303en16.pdf</w:t>
        </w:r>
      </w:hyperlink>
    </w:p>
    <w:bookmarkEnd w:id="119"/>
    <w:bookmarkStart w:id="121" w:name="ref-rotenberg2021"/>
    <w:p>
      <w:pPr>
        <w:pStyle w:val="Bibliography"/>
      </w:pPr>
      <w:r>
        <w:t xml:space="preserve">40.</w:t>
      </w:r>
      <w:r>
        <w:t xml:space="preserve"> </w:t>
      </w:r>
      <w:r>
        <w:t xml:space="preserve">	</w:t>
      </w:r>
      <w:r>
        <w:t xml:space="preserve">Rotenberg S, Downer MB, Brown H, et al.</w:t>
      </w:r>
      <w:r>
        <w:t xml:space="preserve"> </w:t>
      </w:r>
      <w:r>
        <w:rPr>
          <w:iCs/>
          <w:i/>
        </w:rPr>
        <w:t xml:space="preserve">COVID</w:t>
      </w:r>
      <w:r>
        <w:rPr>
          <w:iCs/>
          <w:i/>
        </w:rPr>
        <w:t xml:space="preserve">-19 Vaccination for People with Disabilities</w:t>
      </w:r>
      <w:r>
        <w:t xml:space="preserve">. Ontario</w:t>
      </w:r>
      <w:r>
        <w:t xml:space="preserve"> </w:t>
      </w:r>
      <w:r>
        <w:t xml:space="preserve">COVID</w:t>
      </w:r>
      <w:r>
        <w:t xml:space="preserve">-19 Science Advisory Table; 2021. doi:</w:t>
      </w:r>
      <w:hyperlink r:id="rId120">
        <w:r>
          <w:rPr>
            <w:rStyle w:val="Hyperlink"/>
          </w:rPr>
          <w:t xml:space="preserve">10.47326/ocsat.2021.02.35.1.0</w:t>
        </w:r>
      </w:hyperlink>
    </w:p>
    <w:bookmarkEnd w:id="121"/>
    <w:bookmarkStart w:id="123" w:name="ref-ashcroft2023"/>
    <w:p>
      <w:pPr>
        <w:pStyle w:val="Bibliography"/>
      </w:pPr>
      <w:r>
        <w:t xml:space="preserve">41.</w:t>
      </w:r>
      <w:r>
        <w:t xml:space="preserve"> </w:t>
      </w:r>
      <w:r>
        <w:t xml:space="preserve">	</w:t>
      </w:r>
      <w:r>
        <w:t xml:space="preserve">Ashcroft R, Donnelly C, Lam S, et al. A qualitative examination of primary care team’s participation in the distribution of the</w:t>
      </w:r>
      <w:r>
        <w:t xml:space="preserve"> </w:t>
      </w:r>
      <w:r>
        <w:t xml:space="preserve">COVID</w:t>
      </w:r>
      <w:r>
        <w:t xml:space="preserve">-19 vaccination. Published online June 2023. doi:</w:t>
      </w:r>
      <w:hyperlink r:id="rId122">
        <w:r>
          <w:rPr>
            <w:rStyle w:val="Hyperlink"/>
          </w:rPr>
          <w:t xml:space="preserve">10.21203/rs.3.rs-3016276/v1</w:t>
        </w:r>
      </w:hyperlink>
    </w:p>
    <w:bookmarkEnd w:id="123"/>
    <w:bookmarkStart w:id="125" w:name="ref-dion2022"/>
    <w:p>
      <w:pPr>
        <w:pStyle w:val="Bibliography"/>
      </w:pPr>
      <w:r>
        <w:t xml:space="preserve">42.</w:t>
      </w:r>
      <w:r>
        <w:t xml:space="preserve"> </w:t>
      </w:r>
      <w:r>
        <w:t xml:space="preserve">	</w:t>
      </w:r>
      <w:r>
        <w:t xml:space="preserve">Dion A, Waddell K, Moat K, Reid R, Lavis J.</w:t>
      </w:r>
      <w:r>
        <w:t xml:space="preserve"> </w:t>
      </w:r>
      <w:r>
        <w:rPr>
          <w:iCs/>
          <w:i/>
        </w:rPr>
        <w:t xml:space="preserve">Rapid Synthesis: Examining the Intersections Between Ontario Health Teams and Public Health</w:t>
      </w:r>
      <w:r>
        <w:t xml:space="preserve">. McMaster Health Forum; 2022.</w:t>
      </w:r>
      <w:r>
        <w:t xml:space="preserve"> </w:t>
      </w:r>
      <w:hyperlink r:id="rId124">
        <w:r>
          <w:rPr>
            <w:rStyle w:val="Hyperlink"/>
          </w:rPr>
          <w:t xml:space="preserve">https://www.mcmasterforum.org/docs/default-source/product-documents/rapid-responses/examining-the-intersections-between-ontario-health-teams-and-public-health.pdf?sfvrsn=69caa8c9_11</w:t>
        </w:r>
      </w:hyperlink>
    </w:p>
    <w:bookmarkEnd w:id="125"/>
    <w:bookmarkStart w:id="127" w:name="ref-sethuram2023"/>
    <w:p>
      <w:pPr>
        <w:pStyle w:val="Bibliography"/>
      </w:pPr>
      <w:r>
        <w:t xml:space="preserve">43.</w:t>
      </w:r>
      <w:r>
        <w:t xml:space="preserve"> </w:t>
      </w:r>
      <w:r>
        <w:t xml:space="preserve">	</w:t>
      </w:r>
      <w:r>
        <w:t xml:space="preserve">Sethuram C, McCutcheon T, Liddy C. An environmental scan of ontario health teams: A descriptive study.</w:t>
      </w:r>
      <w:r>
        <w:t xml:space="preserve"> </w:t>
      </w:r>
      <w:r>
        <w:rPr>
          <w:iCs/>
          <w:i/>
        </w:rPr>
        <w:t xml:space="preserve">BMC</w:t>
      </w:r>
      <w:r>
        <w:rPr>
          <w:iCs/>
          <w:i/>
        </w:rPr>
        <w:t xml:space="preserve"> </w:t>
      </w:r>
      <w:r>
        <w:rPr>
          <w:iCs/>
          <w:i/>
        </w:rPr>
        <w:t xml:space="preserve">Health Services Research</w:t>
      </w:r>
      <w:r>
        <w:t xml:space="preserve">. 2023;23(1). doi:</w:t>
      </w:r>
      <w:hyperlink r:id="rId126">
        <w:r>
          <w:rPr>
            <w:rStyle w:val="Hyperlink"/>
          </w:rPr>
          <w:t xml:space="preserve">10.1186/s12913-023-09102-6</w:t>
        </w:r>
      </w:hyperlink>
    </w:p>
    <w:bookmarkEnd w:id="127"/>
    <w:bookmarkStart w:id="129" w:name="ref-sargent2022"/>
    <w:p>
      <w:pPr>
        <w:pStyle w:val="Bibliography"/>
      </w:pPr>
      <w:r>
        <w:t xml:space="preserve">44.</w:t>
      </w:r>
      <w:r>
        <w:t xml:space="preserve"> </w:t>
      </w:r>
      <w:r>
        <w:t xml:space="preserve">	</w:t>
      </w:r>
      <w:r>
        <w:t xml:space="preserve">Sargent RH, Laurie S, Weakland LF, et al. Use of random domain intercept technology to track</w:t>
      </w:r>
      <w:r>
        <w:t xml:space="preserve"> </w:t>
      </w:r>
      <w:r>
        <w:t xml:space="preserve">COVID</w:t>
      </w:r>
      <w:r>
        <w:t xml:space="preserve">-19 vaccination rates in real time across the united states: Survey study.</w:t>
      </w:r>
      <w:r>
        <w:t xml:space="preserve"> </w:t>
      </w:r>
      <w:r>
        <w:rPr>
          <w:iCs/>
          <w:i/>
        </w:rPr>
        <w:t xml:space="preserve">Journal of Medical Internet Research</w:t>
      </w:r>
      <w:r>
        <w:t xml:space="preserve">. 2022;24(7):e37920. doi:</w:t>
      </w:r>
      <w:hyperlink r:id="rId128">
        <w:r>
          <w:rPr>
            <w:rStyle w:val="Hyperlink"/>
          </w:rPr>
          <w:t xml:space="preserve">10.2196/37920</w:t>
        </w:r>
      </w:hyperlink>
    </w:p>
    <w:bookmarkEnd w:id="129"/>
    <w:bookmarkStart w:id="131" w:name="ref-kim2021"/>
    <w:p>
      <w:pPr>
        <w:pStyle w:val="Bibliography"/>
      </w:pPr>
      <w:r>
        <w:t xml:space="preserve">45.</w:t>
      </w:r>
      <w:r>
        <w:t xml:space="preserve"> </w:t>
      </w:r>
      <w:r>
        <w:t xml:space="preserve">	</w:t>
      </w:r>
      <w:r>
        <w:t xml:space="preserve">Kim JH, Bell GA, Ratcliffe HL, et al. Predictors of patient-reported quality of care in low- and middle-income countries: A four-country survey of person-centered care.</w:t>
      </w:r>
      <w:r>
        <w:t xml:space="preserve"> </w:t>
      </w:r>
      <w:r>
        <w:rPr>
          <w:iCs/>
          <w:i/>
        </w:rPr>
        <w:t xml:space="preserve">International Journal for Quality in Health Care</w:t>
      </w:r>
      <w:r>
        <w:t xml:space="preserve">. 2021;33(3). doi:</w:t>
      </w:r>
      <w:hyperlink r:id="rId130">
        <w:r>
          <w:rPr>
            <w:rStyle w:val="Hyperlink"/>
          </w:rPr>
          <w:t xml:space="preserve">10.1093/intqhc/mzab110</w:t>
        </w:r>
      </w:hyperlink>
    </w:p>
    <w:bookmarkEnd w:id="131"/>
    <w:bookmarkStart w:id="133" w:name="ref-seeman2010"/>
    <w:p>
      <w:pPr>
        <w:pStyle w:val="Bibliography"/>
      </w:pPr>
      <w:r>
        <w:t xml:space="preserve">46.</w:t>
      </w:r>
      <w:r>
        <w:t xml:space="preserve"> </w:t>
      </w:r>
      <w:r>
        <w:t xml:space="preserve">	</w:t>
      </w:r>
      <w:r>
        <w:t xml:space="preserve">Seeman N, Ing A, Rizo C. Assessing and responding in real time to online anti-vaccine sentiment during a flu pandemic.</w:t>
      </w:r>
      <w:r>
        <w:t xml:space="preserve"> </w:t>
      </w:r>
      <w:r>
        <w:rPr>
          <w:iCs/>
          <w:i/>
        </w:rPr>
        <w:t xml:space="preserve">Healthcare Quarterly</w:t>
      </w:r>
      <w:r>
        <w:t xml:space="preserve">. 2010;13(sp):8-15. doi:</w:t>
      </w:r>
      <w:hyperlink r:id="rId132">
        <w:r>
          <w:rPr>
            <w:rStyle w:val="Hyperlink"/>
          </w:rPr>
          <w:t xml:space="preserve">10.12927/hcq.2010.21923</w:t>
        </w:r>
      </w:hyperlink>
    </w:p>
    <w:bookmarkEnd w:id="133"/>
    <w:bookmarkStart w:id="135" w:name="ref-nguyen2022"/>
    <w:p>
      <w:pPr>
        <w:pStyle w:val="Bibliography"/>
      </w:pPr>
      <w:r>
        <w:t xml:space="preserve">47.</w:t>
      </w:r>
      <w:r>
        <w:t xml:space="preserve"> </w:t>
      </w:r>
      <w:r>
        <w:t xml:space="preserve">	</w:t>
      </w:r>
      <w:r>
        <w:t xml:space="preserve">Nguyen KH, Anneser E, Toppo A, Allen JD, Parott JS, Corlin L. Disparities in national and state estimates of</w:t>
      </w:r>
      <w:r>
        <w:t xml:space="preserve"> </w:t>
      </w:r>
      <w:r>
        <w:t xml:space="preserve">COVID</w:t>
      </w:r>
      <w:r>
        <w:t xml:space="preserve">-19 vaccination receipt and intent to vaccinate by race/ethnicity, income, and age group among adults </w:t>
      </w:r>
      <m:oMath>
        <m:r>
          <m:rPr>
            <m:sty m:val="p"/>
          </m:rPr>
          <m:t>≥</m:t>
        </m:r>
      </m:oMath>
      <w:r>
        <w:t xml:space="preserve"> 18 years, united states.</w:t>
      </w:r>
      <w:r>
        <w:t xml:space="preserve"> </w:t>
      </w:r>
      <w:r>
        <w:rPr>
          <w:iCs/>
          <w:i/>
        </w:rPr>
        <w:t xml:space="preserve">Vaccine</w:t>
      </w:r>
      <w:r>
        <w:t xml:space="preserve">. 2022;40(1):107-113. doi:</w:t>
      </w:r>
      <w:hyperlink r:id="rId134">
        <w:r>
          <w:rPr>
            <w:rStyle w:val="Hyperlink"/>
          </w:rPr>
          <w:t xml:space="preserve">10.1016/j.vaccine.2021.11.040</w:t>
        </w:r>
      </w:hyperlink>
    </w:p>
    <w:bookmarkEnd w:id="135"/>
    <w:bookmarkStart w:id="137" w:name="ref-shih2021"/>
    <w:p>
      <w:pPr>
        <w:pStyle w:val="Bibliography"/>
      </w:pPr>
      <w:r>
        <w:t xml:space="preserve">48.</w:t>
      </w:r>
      <w:r>
        <w:t xml:space="preserve"> </w:t>
      </w:r>
      <w:r>
        <w:t xml:space="preserve">	</w:t>
      </w:r>
      <w:r>
        <w:t xml:space="preserve">Shih SF, Wagner AL, Masters NB, Prosser LA, Lu Y, Zikmund-Fisher BJ. Vaccine hesitancy and rejection of a vaccine for the novel coronavirus in the united states.</w:t>
      </w:r>
      <w:r>
        <w:t xml:space="preserve"> </w:t>
      </w:r>
      <w:r>
        <w:rPr>
          <w:iCs/>
          <w:i/>
        </w:rPr>
        <w:t xml:space="preserve">Frontiers in Immunology</w:t>
      </w:r>
      <w:r>
        <w:t xml:space="preserve">. 2021;12. doi:</w:t>
      </w:r>
      <w:hyperlink r:id="rId136">
        <w:r>
          <w:rPr>
            <w:rStyle w:val="Hyperlink"/>
          </w:rPr>
          <w:t xml:space="preserve">10.3389/fimmu.2021.558270</w:t>
        </w:r>
      </w:hyperlink>
    </w:p>
    <w:bookmarkEnd w:id="137"/>
    <w:bookmarkStart w:id="139" w:name="ref-cnat2022a"/>
    <w:p>
      <w:pPr>
        <w:pStyle w:val="Bibliography"/>
      </w:pPr>
      <w:r>
        <w:t xml:space="preserve">49.</w:t>
      </w:r>
      <w:r>
        <w:t xml:space="preserve"> </w:t>
      </w:r>
      <w:r>
        <w:t xml:space="preserve">	</w:t>
      </w:r>
      <w:r>
        <w:t xml:space="preserve">Cénat JM, Noorishad PG, Farahi SMMM, et al. Prevalence and factors related to</w:t>
      </w:r>
      <w:r>
        <w:t xml:space="preserve"> </w:t>
      </w:r>
      <w:r>
        <w:t xml:space="preserve">COVID</w:t>
      </w:r>
      <w:r>
        <w:t xml:space="preserve">-19 vaccine hesitancy and unwillingness in canada: A systematic review and meta-analysis.</w:t>
      </w:r>
      <w:r>
        <w:t xml:space="preserve"> </w:t>
      </w:r>
      <w:r>
        <w:rPr>
          <w:iCs/>
          <w:i/>
        </w:rPr>
        <w:t xml:space="preserve">Journal of Medical Virology</w:t>
      </w:r>
      <w:r>
        <w:t xml:space="preserve">. 2022;95(1). doi:</w:t>
      </w:r>
      <w:hyperlink r:id="rId138">
        <w:r>
          <w:rPr>
            <w:rStyle w:val="Hyperlink"/>
          </w:rPr>
          <w:t xml:space="preserve">10.1002/jmv.28156</w:t>
        </w:r>
      </w:hyperlink>
    </w:p>
    <w:bookmarkEnd w:id="139"/>
    <w:bookmarkStart w:id="141" w:name="ref-deming1940"/>
    <w:p>
      <w:pPr>
        <w:pStyle w:val="Bibliography"/>
      </w:pPr>
      <w:r>
        <w:t xml:space="preserve">50.</w:t>
      </w:r>
      <w:r>
        <w:t xml:space="preserve"> </w:t>
      </w:r>
      <w:r>
        <w:t xml:space="preserve">	</w:t>
      </w:r>
      <w:r>
        <w:t xml:space="preserve">Deming WE, Stephan FF. On a least squares adjustment of a sampled frequency table when the expected marginal totals are known.</w:t>
      </w:r>
      <w:r>
        <w:t xml:space="preserve"> </w:t>
      </w:r>
      <w:r>
        <w:rPr>
          <w:iCs/>
          <w:i/>
        </w:rPr>
        <w:t xml:space="preserve">The Annals of Mathematical Statistics</w:t>
      </w:r>
      <w:r>
        <w:t xml:space="preserve">. 1940;11(4):427-444. doi:</w:t>
      </w:r>
      <w:hyperlink r:id="rId140">
        <w:r>
          <w:rPr>
            <w:rStyle w:val="Hyperlink"/>
          </w:rPr>
          <w:t xml:space="preserve">10.1214/aoms/1177731829</w:t>
        </w:r>
      </w:hyperlink>
    </w:p>
    <w:bookmarkEnd w:id="141"/>
    <w:bookmarkStart w:id="142" w:name="ref-lumley2011"/>
    <w:p>
      <w:pPr>
        <w:pStyle w:val="Bibliography"/>
      </w:pPr>
      <w:r>
        <w:t xml:space="preserve">51.</w:t>
      </w:r>
      <w:r>
        <w:t xml:space="preserve"> </w:t>
      </w:r>
      <w:r>
        <w:t xml:space="preserve">	</w:t>
      </w:r>
      <w:r>
        <w:t xml:space="preserve">Lumley T.</w:t>
      </w:r>
      <w:r>
        <w:t xml:space="preserve"> </w:t>
      </w:r>
      <w:r>
        <w:rPr>
          <w:iCs/>
          <w:i/>
        </w:rPr>
        <w:t xml:space="preserve">Complex Surveys</w:t>
      </w:r>
      <w:r>
        <w:t xml:space="preserve">. John Wiley &amp; Sons; 2011.</w:t>
      </w:r>
    </w:p>
    <w:bookmarkEnd w:id="142"/>
    <w:bookmarkStart w:id="144" w:name="ref-wickham2019"/>
    <w:p>
      <w:pPr>
        <w:pStyle w:val="Bibliography"/>
      </w:pPr>
      <w:r>
        <w:t xml:space="preserve">52.</w:t>
      </w:r>
      <w:r>
        <w:t xml:space="preserve"> </w:t>
      </w:r>
      <w:r>
        <w:t xml:space="preserve">	</w:t>
      </w:r>
      <w:r>
        <w:t xml:space="preserve">Wickham H, Averick M, Bryan J, et al. Welcome to the</w:t>
      </w:r>
      <w:r>
        <w:t xml:space="preserve"> </w:t>
      </w:r>
      <w:r>
        <w:t xml:space="preserve">tidyverse</w:t>
      </w:r>
      <w:r>
        <w:t xml:space="preserve">.</w:t>
      </w:r>
      <w:r>
        <w:t xml:space="preserve"> </w:t>
      </w:r>
      <w:r>
        <w:rPr>
          <w:iCs/>
          <w:i/>
        </w:rPr>
        <w:t xml:space="preserve">Journal of Open Source Software</w:t>
      </w:r>
      <w:r>
        <w:t xml:space="preserve">. 2019;4(43):1686. doi:</w:t>
      </w:r>
      <w:hyperlink r:id="rId143">
        <w:r>
          <w:rPr>
            <w:rStyle w:val="Hyperlink"/>
          </w:rPr>
          <w:t xml:space="preserve">10.21105/joss.01686</w:t>
        </w:r>
      </w:hyperlink>
    </w:p>
    <w:bookmarkEnd w:id="144"/>
    <w:bookmarkStart w:id="146" w:name="ref-quarto"/>
    <w:p>
      <w:pPr>
        <w:pStyle w:val="Bibliography"/>
      </w:pPr>
      <w:r>
        <w:t xml:space="preserve">53.</w:t>
      </w:r>
      <w:r>
        <w:t xml:space="preserve"> </w:t>
      </w:r>
      <w:r>
        <w:t xml:space="preserve">	</w:t>
      </w:r>
      <w:r>
        <w:t xml:space="preserve">Allaire J.</w:t>
      </w:r>
      <w:r>
        <w:t xml:space="preserve"> </w:t>
      </w:r>
      <w:r>
        <w:rPr>
          <w:iCs/>
          <w:i/>
        </w:rPr>
        <w:t xml:space="preserve">Quarto: R Interface to ’Quarto’ Markdown Publishing System</w:t>
      </w:r>
      <w:r>
        <w:t xml:space="preserve">.; 2022.</w:t>
      </w:r>
      <w:r>
        <w:t xml:space="preserve"> </w:t>
      </w:r>
      <w:hyperlink r:id="rId145">
        <w:r>
          <w:rPr>
            <w:rStyle w:val="Hyperlink"/>
          </w:rPr>
          <w:t xml:space="preserve">https://CRAN.R-project.org/package=quarto</w:t>
        </w:r>
      </w:hyperlink>
    </w:p>
    <w:bookmarkEnd w:id="146"/>
    <w:bookmarkStart w:id="148" w:name="ref-modelsummary"/>
    <w:p>
      <w:pPr>
        <w:pStyle w:val="Bibliography"/>
      </w:pPr>
      <w:r>
        <w:t xml:space="preserve">54.</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w:t>
      </w:r>
      <w:r>
        <w:t xml:space="preserve"> </w:t>
      </w:r>
      <w:r>
        <w:rPr>
          <w:iCs/>
          <w:i/>
        </w:rPr>
        <w:t xml:space="preserve">Journal of Statistical Software</w:t>
      </w:r>
      <w:r>
        <w:t xml:space="preserve">. 2022;103(1):1-23. doi:</w:t>
      </w:r>
      <w:hyperlink r:id="rId147">
        <w:r>
          <w:rPr>
            <w:rStyle w:val="Hyperlink"/>
          </w:rPr>
          <w:t xml:space="preserve">10.18637/jss.v103.i01</w:t>
        </w:r>
      </w:hyperlink>
    </w:p>
    <w:bookmarkEnd w:id="148"/>
    <w:bookmarkStart w:id="150" w:name="ref-gtsummary"/>
    <w:p>
      <w:pPr>
        <w:pStyle w:val="Bibliography"/>
      </w:pPr>
      <w:r>
        <w:t xml:space="preserve">55.</w:t>
      </w:r>
      <w:r>
        <w:t xml:space="preserve"> </w:t>
      </w:r>
      <w:r>
        <w:t xml:space="preserve">	</w:t>
      </w:r>
      <w:r>
        <w:t xml:space="preserve">Sjoberg DD, Whiting K, Curry M, Lavery JA, Larmarange J. Reproducible summary tables with the gtsummary package.</w:t>
      </w:r>
      <w:r>
        <w:t xml:space="preserve"> </w:t>
      </w:r>
      <w:r>
        <w:rPr>
          <w:iCs/>
          <w:i/>
        </w:rPr>
        <w:t xml:space="preserve">The R Journal</w:t>
      </w:r>
      <w:r>
        <w:t xml:space="preserve">. 2021;13:570-580. doi:</w:t>
      </w:r>
      <w:hyperlink r:id="rId149">
        <w:r>
          <w:rPr>
            <w:rStyle w:val="Hyperlink"/>
          </w:rPr>
          <w:t xml:space="preserve">10.32614/RJ-2021-053</w:t>
        </w:r>
      </w:hyperlink>
    </w:p>
    <w:bookmarkEnd w:id="150"/>
    <w:bookmarkStart w:id="152" w:name="ref-bolotin2018"/>
    <w:p>
      <w:pPr>
        <w:pStyle w:val="Bibliography"/>
      </w:pPr>
      <w:r>
        <w:t xml:space="preserve">56.</w:t>
      </w:r>
      <w:r>
        <w:t xml:space="preserve"> </w:t>
      </w:r>
      <w:r>
        <w:t xml:space="preserve">	</w:t>
      </w:r>
      <w:r>
        <w:t xml:space="preserve">Bolotin JJAG Shelly AND Feld. Population-based estimate of hepatitis c virus prevalence in ontario, canada.</w:t>
      </w:r>
      <w:r>
        <w:t xml:space="preserve"> </w:t>
      </w:r>
      <w:r>
        <w:rPr>
          <w:iCs/>
          <w:i/>
        </w:rPr>
        <w:t xml:space="preserve">PLOS ONE</w:t>
      </w:r>
      <w:r>
        <w:t xml:space="preserve">. 2018;13(1):1-10. doi:</w:t>
      </w:r>
      <w:hyperlink r:id="rId151">
        <w:r>
          <w:rPr>
            <w:rStyle w:val="Hyperlink"/>
          </w:rPr>
          <w:t xml:space="preserve">10.1371/journal.pone.0191184</w:t>
        </w:r>
      </w:hyperlink>
    </w:p>
    <w:bookmarkEnd w:id="152"/>
    <w:bookmarkStart w:id="154" w:name="ref-ohesi"/>
    <w:p>
      <w:pPr>
        <w:pStyle w:val="Bibliography"/>
      </w:pPr>
      <w:r>
        <w:t xml:space="preserve">57.</w:t>
      </w:r>
      <w:r>
        <w:t xml:space="preserve"> </w:t>
      </w:r>
      <w:r>
        <w:t xml:space="preserve">	</w:t>
      </w:r>
      <w:r>
        <w:t xml:space="preserve">Ontario HIV Epidemiology and Surveillance Initiative.</w:t>
      </w:r>
      <w:r>
        <w:t xml:space="preserve"> </w:t>
      </w:r>
      <w:r>
        <w:t xml:space="preserve">T</w:t>
      </w:r>
      <w:r>
        <w:t xml:space="preserve">echnical</w:t>
      </w:r>
      <w:r>
        <w:t xml:space="preserve"> </w:t>
      </w:r>
      <w:r>
        <w:t xml:space="preserve">N</w:t>
      </w:r>
      <w:r>
        <w:t xml:space="preserve">otes:</w:t>
      </w:r>
      <w:r>
        <w:t xml:space="preserve"> </w:t>
      </w:r>
      <w:r>
        <w:t xml:space="preserve">H</w:t>
      </w:r>
      <w:r>
        <w:t xml:space="preserve">ealth regions -</w:t>
      </w:r>
      <w:r>
        <w:t xml:space="preserve"> </w:t>
      </w:r>
      <w:r>
        <w:t xml:space="preserve">O</w:t>
      </w:r>
      <w:r>
        <w:t xml:space="preserve">H</w:t>
      </w:r>
      <w:r>
        <w:t xml:space="preserve">E</w:t>
      </w:r>
      <w:r>
        <w:t xml:space="preserve">S</w:t>
      </w:r>
      <w:r>
        <w:t xml:space="preserve">I</w:t>
      </w:r>
      <w:r>
        <w:t xml:space="preserve"> </w:t>
      </w:r>
      <w:r>
        <w:t xml:space="preserve">— ohesi.ca. Accessed July 7, 2023.</w:t>
      </w:r>
      <w:r>
        <w:t xml:space="preserve"> </w:t>
      </w:r>
      <w:hyperlink r:id="rId153">
        <w:r>
          <w:rPr>
            <w:rStyle w:val="Hyperlink"/>
          </w:rPr>
          <w:t xml:space="preserve">https://www.ohesi.ca/technical-notes/health-regions/</w:t>
        </w:r>
      </w:hyperlink>
    </w:p>
    <w:bookmarkEnd w:id="154"/>
    <w:bookmarkStart w:id="156" w:name="ref-carter2022"/>
    <w:p>
      <w:pPr>
        <w:pStyle w:val="Bibliography"/>
      </w:pPr>
      <w:r>
        <w:t xml:space="preserve">58.</w:t>
      </w:r>
      <w:r>
        <w:t xml:space="preserve"> </w:t>
      </w:r>
      <w:r>
        <w:t xml:space="preserve">	</w:t>
      </w:r>
      <w:r>
        <w:t xml:space="preserve">Carter MA, Biro S, Maier A, Shingler C, Guan TH.</w:t>
      </w:r>
      <w:r>
        <w:t xml:space="preserve"> </w:t>
      </w:r>
      <w:r>
        <w:t xml:space="preserve">COVID</w:t>
      </w:r>
      <w:r>
        <w:t xml:space="preserve">-19 vaccine uptake in southeastern ontario, canada: Monitoring and addressing health inequities.</w:t>
      </w:r>
      <w:r>
        <w:t xml:space="preserve"> </w:t>
      </w:r>
      <w:r>
        <w:rPr>
          <w:iCs/>
          <w:i/>
        </w:rPr>
        <w:t xml:space="preserve">Journal of Public Health Management and Practice</w:t>
      </w:r>
      <w:r>
        <w:t xml:space="preserve">. 2022;28(6):615-623. doi:</w:t>
      </w:r>
      <w:hyperlink r:id="rId155">
        <w:r>
          <w:rPr>
            <w:rStyle w:val="Hyperlink"/>
          </w:rPr>
          <w:t xml:space="preserve">10.1097/phh.0000000000001565</w:t>
        </w:r>
      </w:hyperlink>
    </w:p>
    <w:bookmarkEnd w:id="156"/>
    <w:bookmarkStart w:id="158" w:name="ref-basta2022"/>
    <w:p>
      <w:pPr>
        <w:pStyle w:val="Bibliography"/>
      </w:pPr>
      <w:r>
        <w:t xml:space="preserve">59.</w:t>
      </w:r>
      <w:r>
        <w:t xml:space="preserve"> </w:t>
      </w:r>
      <w:r>
        <w:t xml:space="preserve">	</w:t>
      </w:r>
      <w:r>
        <w:t xml:space="preserve">Basta NE, Sohel N, Sulis G, et al. Factors associated with willingness to receive a</w:t>
      </w:r>
      <w:r>
        <w:t xml:space="preserve"> </w:t>
      </w:r>
      <w:r>
        <w:t xml:space="preserve">COVID</w:t>
      </w:r>
      <w:r>
        <w:t xml:space="preserve">-19 vaccine among 23, 819 adults aged 50 years or older: An analysis of the canadian longitudinal study on aging.</w:t>
      </w:r>
      <w:r>
        <w:t xml:space="preserve"> </w:t>
      </w:r>
      <w:r>
        <w:rPr>
          <w:iCs/>
          <w:i/>
        </w:rPr>
        <w:t xml:space="preserve">American Journal of Epidemiology</w:t>
      </w:r>
      <w:r>
        <w:t xml:space="preserve">. 2022;191(6):987-998. doi:</w:t>
      </w:r>
      <w:hyperlink r:id="rId157">
        <w:r>
          <w:rPr>
            <w:rStyle w:val="Hyperlink"/>
          </w:rPr>
          <w:t xml:space="preserve">10.1093/aje/kwac029</w:t>
        </w:r>
      </w:hyperlink>
    </w:p>
    <w:bookmarkEnd w:id="158"/>
    <w:bookmarkStart w:id="160" w:name="ref-cnat2022b"/>
    <w:p>
      <w:pPr>
        <w:pStyle w:val="Bibliography"/>
      </w:pPr>
      <w:r>
        <w:t xml:space="preserve">60.</w:t>
      </w:r>
      <w:r>
        <w:t xml:space="preserve"> </w:t>
      </w:r>
      <w:r>
        <w:t xml:space="preserve">	</w:t>
      </w:r>
      <w:r>
        <w:t xml:space="preserve">Cénat JM, Noorishad PG, Bakombo SM, et al. A systematic review on vaccine hesitancy in black communities in canada: Critical issues and research failures.</w:t>
      </w:r>
      <w:r>
        <w:t xml:space="preserve"> </w:t>
      </w:r>
      <w:r>
        <w:rPr>
          <w:iCs/>
          <w:i/>
        </w:rPr>
        <w:t xml:space="preserve">Vaccines</w:t>
      </w:r>
      <w:r>
        <w:t xml:space="preserve">. 2022;10(11):1937. doi:</w:t>
      </w:r>
      <w:hyperlink r:id="rId159">
        <w:r>
          <w:rPr>
            <w:rStyle w:val="Hyperlink"/>
          </w:rPr>
          <w:t xml:space="preserve">10.3390/vaccines10111937</w:t>
        </w:r>
      </w:hyperlink>
    </w:p>
    <w:bookmarkEnd w:id="160"/>
    <w:bookmarkStart w:id="162" w:name="ref-cnat2023"/>
    <w:p>
      <w:pPr>
        <w:pStyle w:val="Bibliography"/>
      </w:pPr>
      <w:r>
        <w:t xml:space="preserve">61.</w:t>
      </w:r>
      <w:r>
        <w:t xml:space="preserve"> </w:t>
      </w:r>
      <w:r>
        <w:t xml:space="preserve">	</w:t>
      </w:r>
      <w:r>
        <w:t xml:space="preserve">Cénat JM, Farahi SMMM, Bakombo SM, et al. Vaccine mistrust among black individuals in canada: The major role of health literacy, conspiracy theories, and racial discrimination in the healthcare system.</w:t>
      </w:r>
      <w:r>
        <w:t xml:space="preserve"> </w:t>
      </w:r>
      <w:r>
        <w:rPr>
          <w:iCs/>
          <w:i/>
        </w:rPr>
        <w:t xml:space="preserve">Journal of Medical Virology</w:t>
      </w:r>
      <w:r>
        <w:t xml:space="preserve">. 2023;95(4). doi:</w:t>
      </w:r>
      <w:hyperlink r:id="rId161">
        <w:r>
          <w:rPr>
            <w:rStyle w:val="Hyperlink"/>
          </w:rPr>
          <w:t xml:space="preserve">10.1002/jmv.28738</w:t>
        </w:r>
      </w:hyperlink>
    </w:p>
    <w:bookmarkEnd w:id="162"/>
    <w:bookmarkStart w:id="164" w:name="ref-njoku2021"/>
    <w:p>
      <w:pPr>
        <w:pStyle w:val="Bibliography"/>
      </w:pPr>
      <w:r>
        <w:t xml:space="preserve">62.</w:t>
      </w:r>
      <w:r>
        <w:t xml:space="preserve"> </w:t>
      </w:r>
      <w:r>
        <w:t xml:space="preserve">	</w:t>
      </w:r>
      <w:r>
        <w:t xml:space="preserve">Njoku A, Joseph M, Felix R. Changing the narrative: Structural barriers and racial and ethnic inequities in</w:t>
      </w:r>
      <w:r>
        <w:t xml:space="preserve"> </w:t>
      </w:r>
      <w:r>
        <w:t xml:space="preserve">COVID</w:t>
      </w:r>
      <w:r>
        <w:t xml:space="preserve">-19 vaccination.</w:t>
      </w:r>
      <w:r>
        <w:t xml:space="preserve"> </w:t>
      </w:r>
      <w:r>
        <w:rPr>
          <w:iCs/>
          <w:i/>
        </w:rPr>
        <w:t xml:space="preserve">International Journal of Environmental Research and Public Health</w:t>
      </w:r>
      <w:r>
        <w:t xml:space="preserve">. 2021;18(18):9904. doi:</w:t>
      </w:r>
      <w:hyperlink r:id="rId163">
        <w:r>
          <w:rPr>
            <w:rStyle w:val="Hyperlink"/>
          </w:rPr>
          <w:t xml:space="preserve">10.3390/ijerph18189904</w:t>
        </w:r>
      </w:hyperlink>
    </w:p>
    <w:bookmarkEnd w:id="164"/>
    <w:bookmarkStart w:id="166" w:name="ref-iveniuk2021"/>
    <w:p>
      <w:pPr>
        <w:pStyle w:val="Bibliography"/>
      </w:pPr>
      <w:r>
        <w:t xml:space="preserve">63.</w:t>
      </w:r>
      <w:r>
        <w:t xml:space="preserve"> </w:t>
      </w:r>
      <w:r>
        <w:t xml:space="preserve">	</w:t>
      </w:r>
      <w:r>
        <w:t xml:space="preserve">Iveniuk J, Leon S.</w:t>
      </w:r>
      <w:r>
        <w:t xml:space="preserve"> </w:t>
      </w:r>
      <w:r>
        <w:rPr>
          <w:iCs/>
          <w:i/>
        </w:rPr>
        <w:t xml:space="preserve">Uneven Recovery: Measuring Covid-19 Vaccine Equity in Ontario</w:t>
      </w:r>
      <w:r>
        <w:t xml:space="preserve">. Wellesley Institute; 2021. Accessed May 12, 2023.</w:t>
      </w:r>
      <w:r>
        <w:t xml:space="preserve"> </w:t>
      </w:r>
      <w:hyperlink r:id="rId165">
        <w:r>
          <w:rPr>
            <w:rStyle w:val="Hyperlink"/>
          </w:rPr>
          <w:t xml:space="preserve">https://www.wellesleyinstitute.com/wp-content/uploads/2021/04/An-uneven-recovery-Measuring-COVID-19-vaccine-equity-in-Ontario.pdf</w:t>
        </w:r>
      </w:hyperlink>
    </w:p>
    <w:bookmarkEnd w:id="166"/>
    <w:bookmarkStart w:id="168" w:name="ref-gill2022"/>
    <w:p>
      <w:pPr>
        <w:pStyle w:val="Bibliography"/>
      </w:pPr>
      <w:r>
        <w:t xml:space="preserve">64.</w:t>
      </w:r>
      <w:r>
        <w:t xml:space="preserve"> </w:t>
      </w:r>
      <w:r>
        <w:t xml:space="preserve">	</w:t>
      </w:r>
      <w:r>
        <w:t xml:space="preserve">Gill M, Datta D, Gregory P, Austin Z.</w:t>
      </w:r>
      <w:r>
        <w:t xml:space="preserve"> </w:t>
      </w:r>
      <w:r>
        <w:t xml:space="preserve">COVID</w:t>
      </w:r>
      <w:r>
        <w:t xml:space="preserve">-19 vaccination in high-risk communities: Case study of brampton, ontario.</w:t>
      </w:r>
      <w:r>
        <w:t xml:space="preserve"> </w:t>
      </w:r>
      <w:r>
        <w:rPr>
          <w:iCs/>
          <w:i/>
        </w:rPr>
        <w:t xml:space="preserve">Canadian Pharmacists Journal / Revue des Pharmaciens du Canada</w:t>
      </w:r>
      <w:r>
        <w:t xml:space="preserve">. 2022;155(6):345-351. doi:</w:t>
      </w:r>
      <w:hyperlink r:id="rId167">
        <w:r>
          <w:rPr>
            <w:rStyle w:val="Hyperlink"/>
          </w:rPr>
          <w:t xml:space="preserve">10.1177/17151635221123042</w:t>
        </w:r>
      </w:hyperlink>
    </w:p>
    <w:bookmarkEnd w:id="168"/>
    <w:bookmarkStart w:id="170" w:name="ref-hawkins2020"/>
    <w:p>
      <w:pPr>
        <w:pStyle w:val="Bibliography"/>
      </w:pPr>
      <w:r>
        <w:t xml:space="preserve">65.</w:t>
      </w:r>
      <w:r>
        <w:t xml:space="preserve"> </w:t>
      </w:r>
      <w:r>
        <w:t xml:space="preserve">	</w:t>
      </w:r>
      <w:r>
        <w:t xml:space="preserve">Hawkins D. Differential occupational risk for</w:t>
      </w:r>
      <w:r>
        <w:t xml:space="preserve"> </w:t>
      </w:r>
      <w:r>
        <w:t xml:space="preserve">COVID</w:t>
      </w:r>
      <w:r>
        <w:t xml:space="preserve">-19 and other infection exposure according to race and ethnicity.</w:t>
      </w:r>
      <w:r>
        <w:t xml:space="preserve"> </w:t>
      </w:r>
      <w:r>
        <w:rPr>
          <w:iCs/>
          <w:i/>
        </w:rPr>
        <w:t xml:space="preserve">American Journal of Industrial Medicine</w:t>
      </w:r>
      <w:r>
        <w:t xml:space="preserve">. 2020;63(9):817-820. doi:</w:t>
      </w:r>
      <w:hyperlink r:id="rId169">
        <w:r>
          <w:rPr>
            <w:rStyle w:val="Hyperlink"/>
          </w:rPr>
          <w:t xml:space="preserve">10.1002/ajim.23145</w:t>
        </w:r>
      </w:hyperlink>
    </w:p>
    <w:bookmarkEnd w:id="170"/>
    <w:bookmarkStart w:id="172" w:name="ref-ct2021"/>
    <w:p>
      <w:pPr>
        <w:pStyle w:val="Bibliography"/>
      </w:pPr>
      <w:r>
        <w:t xml:space="preserve">66.</w:t>
      </w:r>
      <w:r>
        <w:t xml:space="preserve"> </w:t>
      </w:r>
      <w:r>
        <w:t xml:space="preserve">	</w:t>
      </w:r>
      <w:r>
        <w:t xml:space="preserve">Côté D, Durant S, MacEachen E, et al. A rapid scoping review of</w:t>
      </w:r>
      <w:r>
        <w:t xml:space="preserve"> </w:t>
      </w:r>
      <w:r>
        <w:t xml:space="preserve">COVID</w:t>
      </w:r>
      <w:r>
        <w:t xml:space="preserve">-19 and vulnerable workers: Intersecting occupational and public health issues.</w:t>
      </w:r>
      <w:r>
        <w:t xml:space="preserve"> </w:t>
      </w:r>
      <w:r>
        <w:rPr>
          <w:iCs/>
          <w:i/>
        </w:rPr>
        <w:t xml:space="preserve">American Journal of Industrial Medicine</w:t>
      </w:r>
      <w:r>
        <w:t xml:space="preserve">. 2021;64(7):551-566. doi:</w:t>
      </w:r>
      <w:hyperlink r:id="rId171">
        <w:r>
          <w:rPr>
            <w:rStyle w:val="Hyperlink"/>
          </w:rPr>
          <w:t xml:space="preserve">10.1002/ajim.23256</w:t>
        </w:r>
      </w:hyperlink>
    </w:p>
    <w:bookmarkEnd w:id="172"/>
    <w:bookmarkStart w:id="174" w:name="ref-rao2021"/>
    <w:p>
      <w:pPr>
        <w:pStyle w:val="Bibliography"/>
      </w:pPr>
      <w:r>
        <w:t xml:space="preserve">67.</w:t>
      </w:r>
      <w:r>
        <w:t xml:space="preserve"> </w:t>
      </w:r>
      <w:r>
        <w:t xml:space="preserve">	</w:t>
      </w:r>
      <w:r>
        <w:t xml:space="preserve">Rao A, Ma H, Moloney G, et al. A disproportionate epidemic:</w:t>
      </w:r>
      <w:r>
        <w:t xml:space="preserve"> </w:t>
      </w:r>
      <w:r>
        <w:t xml:space="preserve">COVID</w:t>
      </w:r>
      <w:r>
        <w:t xml:space="preserve">-19 cases and deaths among essential workers in toronto, canada.</w:t>
      </w:r>
      <w:r>
        <w:t xml:space="preserve"> </w:t>
      </w:r>
      <w:r>
        <w:rPr>
          <w:iCs/>
          <w:i/>
        </w:rPr>
        <w:t xml:space="preserve">Annals of Epidemiology</w:t>
      </w:r>
      <w:r>
        <w:t xml:space="preserve">. 2021;63:63-67. doi:</w:t>
      </w:r>
      <w:hyperlink r:id="rId173">
        <w:r>
          <w:rPr>
            <w:rStyle w:val="Hyperlink"/>
          </w:rPr>
          <w:t xml:space="preserve">10.1016/j.annepidem.2021.07.010</w:t>
        </w:r>
      </w:hyperlink>
    </w:p>
    <w:bookmarkEnd w:id="174"/>
    <w:bookmarkStart w:id="176" w:name="ref-mishra2021"/>
    <w:p>
      <w:pPr>
        <w:pStyle w:val="Bibliography"/>
      </w:pPr>
      <w:r>
        <w:t xml:space="preserve">68.</w:t>
      </w:r>
      <w:r>
        <w:t xml:space="preserve"> </w:t>
      </w:r>
      <w:r>
        <w:t xml:space="preserve">	</w:t>
      </w:r>
      <w:r>
        <w:t xml:space="preserve">Mishra S, Stall NM, Ma H, et al.</w:t>
      </w:r>
      <w:r>
        <w:t xml:space="preserve"> </w:t>
      </w:r>
      <w:r>
        <w:rPr>
          <w:iCs/>
          <w:i/>
        </w:rPr>
        <w:t xml:space="preserve">A Vaccination Strategy for Ontario</w:t>
      </w:r>
      <w:r>
        <w:rPr>
          <w:iCs/>
          <w:i/>
        </w:rPr>
        <w:t xml:space="preserve"> </w:t>
      </w:r>
      <w:r>
        <w:rPr>
          <w:iCs/>
          <w:i/>
        </w:rPr>
        <w:t xml:space="preserve">COVID</w:t>
      </w:r>
      <w:r>
        <w:rPr>
          <w:iCs/>
          <w:i/>
        </w:rPr>
        <w:t xml:space="preserve">-19 Hotspots and Essential Workers</w:t>
      </w:r>
      <w:r>
        <w:t xml:space="preserve">. Ontario</w:t>
      </w:r>
      <w:r>
        <w:t xml:space="preserve"> </w:t>
      </w:r>
      <w:r>
        <w:t xml:space="preserve">COVID</w:t>
      </w:r>
      <w:r>
        <w:t xml:space="preserve">-19 Science Advisory Table; 2021. doi:</w:t>
      </w:r>
      <w:hyperlink r:id="rId175">
        <w:r>
          <w:rPr>
            <w:rStyle w:val="Hyperlink"/>
          </w:rPr>
          <w:t xml:space="preserve">10.47326/ocsat.2021.02.26.1.0</w:t>
        </w:r>
      </w:hyperlink>
    </w:p>
    <w:bookmarkEnd w:id="176"/>
    <w:bookmarkStart w:id="178" w:name="ref-nguyen2021b"/>
    <w:p>
      <w:pPr>
        <w:pStyle w:val="Bibliography"/>
      </w:pPr>
      <w:r>
        <w:t xml:space="preserve">69.</w:t>
      </w:r>
      <w:r>
        <w:t xml:space="preserve"> </w:t>
      </w:r>
      <w:r>
        <w:t xml:space="preserve">	</w:t>
      </w:r>
      <w:r>
        <w:t xml:space="preserve">Nguyen KH, Yankey D, Coy KC, et al.</w:t>
      </w:r>
      <w:r>
        <w:t xml:space="preserve"> </w:t>
      </w:r>
      <w:r>
        <w:t xml:space="preserve">COVID</w:t>
      </w:r>
      <w:r>
        <w:t xml:space="preserve">-19 vaccination coverage, intent, knowledge, attitudes, and beliefs among essential workers, united states.</w:t>
      </w:r>
      <w:r>
        <w:t xml:space="preserve"> </w:t>
      </w:r>
      <w:r>
        <w:rPr>
          <w:iCs/>
          <w:i/>
        </w:rPr>
        <w:t xml:space="preserve">Emerging Infectious Diseases</w:t>
      </w:r>
      <w:r>
        <w:t xml:space="preserve">. 2021;27(11):2908-2913. doi:</w:t>
      </w:r>
      <w:hyperlink r:id="rId177">
        <w:r>
          <w:rPr>
            <w:rStyle w:val="Hyperlink"/>
          </w:rPr>
          <w:t xml:space="preserve">10.3201/eid2711.211557</w:t>
        </w:r>
      </w:hyperlink>
    </w:p>
    <w:bookmarkEnd w:id="178"/>
    <w:bookmarkStart w:id="180" w:name="ref-shah2019"/>
    <w:p>
      <w:pPr>
        <w:pStyle w:val="Bibliography"/>
      </w:pPr>
      <w:r>
        <w:t xml:space="preserve">70.</w:t>
      </w:r>
      <w:r>
        <w:t xml:space="preserve"> </w:t>
      </w:r>
      <w:r>
        <w:t xml:space="preserve">	</w:t>
      </w:r>
      <w:r>
        <w:t xml:space="preserve">Shah TI, Clark AF, Seabrook JA, Sibbald S, Gilliland JA. Geographic accessibility to primary care providers: Comparing rural and urban areas in southwestern ontario.</w:t>
      </w:r>
      <w:r>
        <w:t xml:space="preserve"> </w:t>
      </w:r>
      <w:r>
        <w:rPr>
          <w:iCs/>
          <w:i/>
        </w:rPr>
        <w:t xml:space="preserve">The Canadian Geographer / Le G</w:t>
      </w:r>
      <w:r>
        <w:rPr>
          <w:iCs/>
          <w:i/>
        </w:rPr>
        <w:t xml:space="preserve">é</w:t>
      </w:r>
      <w:r>
        <w:rPr>
          <w:iCs/>
          <w:i/>
        </w:rPr>
        <w:t xml:space="preserve">ographe canadien</w:t>
      </w:r>
      <w:r>
        <w:t xml:space="preserve">. 2019;64(1):65-78. doi:</w:t>
      </w:r>
      <w:hyperlink r:id="rId179">
        <w:r>
          <w:rPr>
            <w:rStyle w:val="Hyperlink"/>
          </w:rPr>
          <w:t xml:space="preserve">10.1111/cag.12557</w:t>
        </w:r>
      </w:hyperlink>
    </w:p>
    <w:bookmarkEnd w:id="180"/>
    <w:bookmarkStart w:id="181" w:name="ref-crighton2015"/>
    <w:p>
      <w:pPr>
        <w:pStyle w:val="Bibliography"/>
      </w:pPr>
      <w:r>
        <w:t xml:space="preserve">71.</w:t>
      </w:r>
      <w:r>
        <w:t xml:space="preserve"> </w:t>
      </w:r>
      <w:r>
        <w:t xml:space="preserve">	</w:t>
      </w:r>
      <w:r>
        <w:t xml:space="preserve">Crighton EJ, Ragetlie R, Luo J, To T, Gershon A. A spatial analysis of</w:t>
      </w:r>
      <w:r>
        <w:t xml:space="preserve"> </w:t>
      </w:r>
      <w:r>
        <w:t xml:space="preserve">COPD</w:t>
      </w:r>
      <w:r>
        <w:t xml:space="preserve"> </w:t>
      </w:r>
      <w:r>
        <w:t xml:space="preserve">prevalence, incidence, mortality and health service use in ontario.</w:t>
      </w:r>
      <w:r>
        <w:t xml:space="preserve"> </w:t>
      </w:r>
      <w:r>
        <w:rPr>
          <w:iCs/>
          <w:i/>
        </w:rPr>
        <w:t xml:space="preserve">Health Rep</w:t>
      </w:r>
      <w:r>
        <w:t xml:space="preserve">. 2015;26(3):10-18.</w:t>
      </w:r>
    </w:p>
    <w:bookmarkEnd w:id="181"/>
    <w:bookmarkStart w:id="183" w:name="ref-timony2022"/>
    <w:p>
      <w:pPr>
        <w:pStyle w:val="Bibliography"/>
      </w:pPr>
      <w:r>
        <w:t xml:space="preserve">72.</w:t>
      </w:r>
      <w:r>
        <w:t xml:space="preserve"> </w:t>
      </w:r>
      <w:r>
        <w:t xml:space="preserve">	</w:t>
      </w:r>
      <w:r>
        <w:t xml:space="preserve">Timony P, Houle SKD, Gauthier A, Waite NM. Geographic distribution of ontario pharmacists: A focus on rural and northern communities.</w:t>
      </w:r>
      <w:r>
        <w:t xml:space="preserve"> </w:t>
      </w:r>
      <w:r>
        <w:rPr>
          <w:iCs/>
          <w:i/>
        </w:rPr>
        <w:t xml:space="preserve">Canadian Pharmacists Journal / Revue des Pharmaciens du Canada</w:t>
      </w:r>
      <w:r>
        <w:t xml:space="preserve">. 2022;155(5):267-276. doi:</w:t>
      </w:r>
      <w:hyperlink r:id="rId182">
        <w:r>
          <w:rPr>
            <w:rStyle w:val="Hyperlink"/>
          </w:rPr>
          <w:t xml:space="preserve">10.1177/17151635221115411</w:t>
        </w:r>
      </w:hyperlink>
    </w:p>
    <w:bookmarkEnd w:id="183"/>
    <w:bookmarkStart w:id="185" w:name="ref-ontariohealth"/>
    <w:p>
      <w:pPr>
        <w:pStyle w:val="Bibliography"/>
      </w:pPr>
      <w:r>
        <w:t xml:space="preserve">73.</w:t>
      </w:r>
      <w:r>
        <w:t xml:space="preserve"> </w:t>
      </w:r>
      <w:r>
        <w:t xml:space="preserve">	</w:t>
      </w:r>
      <w:r>
        <w:rPr>
          <w:iCs/>
          <w:i/>
        </w:rPr>
        <w:t xml:space="preserve">A</w:t>
      </w:r>
      <w:r>
        <w:rPr>
          <w:iCs/>
          <w:i/>
        </w:rPr>
        <w:t xml:space="preserve">nnual</w:t>
      </w:r>
      <w:r>
        <w:rPr>
          <w:iCs/>
          <w:i/>
        </w:rPr>
        <w:t xml:space="preserve"> </w:t>
      </w:r>
      <w:r>
        <w:rPr>
          <w:iCs/>
          <w:i/>
        </w:rPr>
        <w:t xml:space="preserve">B</w:t>
      </w:r>
      <w:r>
        <w:rPr>
          <w:iCs/>
          <w:i/>
        </w:rPr>
        <w:t xml:space="preserve">usiness</w:t>
      </w:r>
      <w:r>
        <w:rPr>
          <w:iCs/>
          <w:i/>
        </w:rPr>
        <w:t xml:space="preserve"> </w:t>
      </w:r>
      <w:r>
        <w:rPr>
          <w:iCs/>
          <w:i/>
        </w:rPr>
        <w:t xml:space="preserve">P</w:t>
      </w:r>
      <w:r>
        <w:rPr>
          <w:iCs/>
          <w:i/>
        </w:rPr>
        <w:t xml:space="preserve">lan 2022/23</w:t>
      </w:r>
      <w:r>
        <w:t xml:space="preserve">. Ontario Health;</w:t>
      </w:r>
      <w:r>
        <w:t xml:space="preserve"> </w:t>
      </w:r>
      <w:hyperlink r:id="rId184">
        <w:r>
          <w:rPr>
            <w:rStyle w:val="Hyperlink"/>
          </w:rPr>
          <w:t xml:space="preserve">https://www.ontariohealth.ca/sites/ontariohealth/files/2022-05/OHBusinessPlan22_23.pdf</w:t>
        </w:r>
      </w:hyperlink>
      <w:r>
        <w:t xml:space="preserve">; 2022.</w:t>
      </w:r>
    </w:p>
    <w:bookmarkEnd w:id="185"/>
    <w:bookmarkStart w:id="187" w:name="ref-smylie2022"/>
    <w:p>
      <w:pPr>
        <w:pStyle w:val="Bibliography"/>
      </w:pPr>
      <w:r>
        <w:t xml:space="preserve">74.</w:t>
      </w:r>
      <w:r>
        <w:t xml:space="preserve"> </w:t>
      </w:r>
      <w:r>
        <w:t xml:space="preserve">	</w:t>
      </w:r>
      <w:r>
        <w:t xml:space="preserve">Smylie J, McConkey S, Rachlis B, et al. Uncovering</w:t>
      </w:r>
      <w:r>
        <w:t xml:space="preserve"> </w:t>
      </w:r>
      <w:r>
        <w:t xml:space="preserve">SARS</w:t>
      </w:r>
      <w:r>
        <w:t xml:space="preserve">-</w:t>
      </w:r>
      <w:r>
        <w:t xml:space="preserve">COV</w:t>
      </w:r>
      <w:r>
        <w:t xml:space="preserve">-2 vaccine uptake and</w:t>
      </w:r>
      <w:r>
        <w:t xml:space="preserve"> </w:t>
      </w:r>
      <w:r>
        <w:t xml:space="preserve">COVID</w:t>
      </w:r>
      <w:r>
        <w:t xml:space="preserve">-19 impacts among first nations, inuit and m</w:t>
      </w:r>
      <w:r>
        <w:t xml:space="preserve">é</w:t>
      </w:r>
      <w:r>
        <w:t xml:space="preserve">tis peoples living in toronto and london, ontario.</w:t>
      </w:r>
      <w:r>
        <w:t xml:space="preserve"> </w:t>
      </w:r>
      <w:r>
        <w:rPr>
          <w:iCs/>
          <w:i/>
        </w:rPr>
        <w:t xml:space="preserve">Canadian Medical Association Journal</w:t>
      </w:r>
      <w:r>
        <w:t xml:space="preserve">. 2022;194(29):E1018-E1026. doi:</w:t>
      </w:r>
      <w:hyperlink r:id="rId186">
        <w:r>
          <w:rPr>
            <w:rStyle w:val="Hyperlink"/>
          </w:rPr>
          <w:t xml:space="preserve">10.1503/cmaj.212147</w:t>
        </w:r>
      </w:hyperlink>
    </w:p>
    <w:bookmarkEnd w:id="187"/>
    <w:bookmarkStart w:id="189" w:name="ref-eissa2021"/>
    <w:p>
      <w:pPr>
        <w:pStyle w:val="Bibliography"/>
      </w:pPr>
      <w:r>
        <w:t xml:space="preserve">75.</w:t>
      </w:r>
      <w:r>
        <w:t xml:space="preserve"> </w:t>
      </w:r>
      <w:r>
        <w:t xml:space="preserve">	</w:t>
      </w:r>
      <w:r>
        <w:t xml:space="preserve">Eissa A, Lofters A, Akor N, Prescod C, Nnorom O. Increasing</w:t>
      </w:r>
      <w:r>
        <w:t xml:space="preserve"> </w:t>
      </w:r>
      <w:r>
        <w:t xml:space="preserve">SARS</w:t>
      </w:r>
      <w:r>
        <w:t xml:space="preserve">-</w:t>
      </w:r>
      <w:r>
        <w:t xml:space="preserve">CoV</w:t>
      </w:r>
      <w:r>
        <w:t xml:space="preserve">-2 vaccination rates among black people in canada.</w:t>
      </w:r>
      <w:r>
        <w:t xml:space="preserve"> </w:t>
      </w:r>
      <w:r>
        <w:rPr>
          <w:iCs/>
          <w:i/>
        </w:rPr>
        <w:t xml:space="preserve">Canadian Medical Association Journal</w:t>
      </w:r>
      <w:r>
        <w:t xml:space="preserve">. 2021;193(31):E1220-E1221. doi:</w:t>
      </w:r>
      <w:hyperlink r:id="rId188">
        <w:r>
          <w:rPr>
            <w:rStyle w:val="Hyperlink"/>
          </w:rPr>
          <w:t xml:space="preserve">10.1503/cmaj.210949</w:t>
        </w:r>
      </w:hyperlink>
    </w:p>
    <w:bookmarkEnd w:id="189"/>
    <w:bookmarkStart w:id="191" w:name="ref-schafferderoo2020"/>
    <w:p>
      <w:pPr>
        <w:pStyle w:val="Bibliography"/>
      </w:pPr>
      <w:r>
        <w:t xml:space="preserve">76.</w:t>
      </w:r>
      <w:r>
        <w:t xml:space="preserve"> </w:t>
      </w:r>
      <w:r>
        <w:t xml:space="preserve">	</w:t>
      </w:r>
      <w:r>
        <w:t xml:space="preserve">DeRoo SS, Pudalov NJ, Fu LY. Planning for a</w:t>
      </w:r>
      <w:r>
        <w:t xml:space="preserve"> </w:t>
      </w:r>
      <w:r>
        <w:t xml:space="preserve">COVID</w:t>
      </w:r>
      <w:r>
        <w:t xml:space="preserve">-19 vaccination program.</w:t>
      </w:r>
      <w:r>
        <w:t xml:space="preserve"> </w:t>
      </w:r>
      <w:r>
        <w:rPr>
          <w:iCs/>
          <w:i/>
        </w:rPr>
        <w:t xml:space="preserve">JAMA</w:t>
      </w:r>
      <w:r>
        <w:t xml:space="preserve">. 2020;323(24):2458. doi:</w:t>
      </w:r>
      <w:hyperlink r:id="rId190">
        <w:r>
          <w:rPr>
            <w:rStyle w:val="Hyperlink"/>
          </w:rPr>
          <w:t xml:space="preserve">10.1001/jama.2020.8711</w:t>
        </w:r>
      </w:hyperlink>
    </w:p>
    <w:bookmarkEnd w:id="191"/>
    <w:bookmarkStart w:id="193" w:name="ref-stephenson2022"/>
    <w:p>
      <w:pPr>
        <w:pStyle w:val="Bibliography"/>
      </w:pPr>
      <w:r>
        <w:t xml:space="preserve">77.</w:t>
      </w:r>
      <w:r>
        <w:t xml:space="preserve"> </w:t>
      </w:r>
      <w:r>
        <w:t xml:space="preserve">	</w:t>
      </w:r>
      <w:r>
        <w:t xml:space="preserve">Stephenson M, Olson SM, Self WH, et al. Ascertainment of vaccination status by self-report versus source documentation: Impact on measuring</w:t>
      </w:r>
      <w:r>
        <w:t xml:space="preserve"> </w:t>
      </w:r>
      <w:r>
        <w:t xml:space="preserve">COVID</w:t>
      </w:r>
      <w:r>
        <w:t xml:space="preserve">-19 vaccine effectiveness.</w:t>
      </w:r>
      <w:r>
        <w:t xml:space="preserve"> </w:t>
      </w:r>
      <w:r>
        <w:rPr>
          <w:iCs/>
          <w:i/>
        </w:rPr>
        <w:t xml:space="preserve">Influenza and Other Respiratory Viruses</w:t>
      </w:r>
      <w:r>
        <w:t xml:space="preserve">. 2022;16(6):1101-1111. doi:</w:t>
      </w:r>
      <w:hyperlink r:id="rId192">
        <w:r>
          <w:rPr>
            <w:rStyle w:val="Hyperlink"/>
          </w:rPr>
          <w:t xml:space="preserve">10.1111/irv.13023</w:t>
        </w:r>
      </w:hyperlink>
    </w:p>
    <w:bookmarkEnd w:id="193"/>
    <w:bookmarkStart w:id="195" w:name="ref-ontario-covid"/>
    <w:p>
      <w:pPr>
        <w:pStyle w:val="Bibliography"/>
      </w:pPr>
      <w:r>
        <w:t xml:space="preserve">78.</w:t>
      </w:r>
      <w:r>
        <w:t xml:space="preserve"> </w:t>
      </w:r>
      <w:r>
        <w:t xml:space="preserve">	</w:t>
      </w:r>
      <w:r>
        <w:t xml:space="preserve">Ontario COVID-19 Data Tool</w:t>
      </w:r>
      <w:r>
        <w:t xml:space="preserve">. Accessed February 27, 2023.</w:t>
      </w:r>
      <w:r>
        <w:t xml:space="preserve"> </w:t>
      </w:r>
      <w:hyperlink r:id="rId194">
        <w:r>
          <w:rPr>
            <w:rStyle w:val="Hyperlink"/>
          </w:rPr>
          <w:t xml:space="preserve">https://www.publichealthontario.ca/en/data-and-analysis/infectious-disease/covid-19-data-surveillance/covid-19-data-tool?tab=vaccine</w:t>
        </w:r>
      </w:hyperlink>
    </w:p>
    <w:bookmarkEnd w:id="195"/>
    <w:bookmarkEnd w:id="196"/>
    <w:bookmarkEnd w:id="197"/>
    <w:sectPr w:rsidR="00401E79" w:rsidRPr="00CD3C59">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170CD2DE"/>
    <w:multiLevelType w:val="multilevel"/>
    <w:tmpl w:val="871CA92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998506645"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df" /><Relationship Type="http://schemas.openxmlformats.org/officeDocument/2006/relationships/image" Id="rId32" Target="media/rId32.png" /><Relationship Type="http://schemas.openxmlformats.org/officeDocument/2006/relationships/hyperlink" Id="rId145" Target="https://CRAN.R-project.org/package=quarto" TargetMode="External" /><Relationship Type="http://schemas.openxmlformats.org/officeDocument/2006/relationships/hyperlink" Id="rId42" Target="https://covid19.who.int/" TargetMode="External" /><Relationship Type="http://schemas.openxmlformats.org/officeDocument/2006/relationships/hyperlink" Id="rId190" Target="https://doi.org/10.1001/jama.2020.8711" TargetMode="External" /><Relationship Type="http://schemas.openxmlformats.org/officeDocument/2006/relationships/hyperlink" Id="rId169" Target="https://doi.org/10.1002/ajim.23145" TargetMode="External" /><Relationship Type="http://schemas.openxmlformats.org/officeDocument/2006/relationships/hyperlink" Id="rId171" Target="https://doi.org/10.1002/ajim.23256" TargetMode="External" /><Relationship Type="http://schemas.openxmlformats.org/officeDocument/2006/relationships/hyperlink" Id="rId138" Target="https://doi.org/10.1002/jmv.28156" TargetMode="External" /><Relationship Type="http://schemas.openxmlformats.org/officeDocument/2006/relationships/hyperlink" Id="rId161" Target="https://doi.org/10.1002/jmv.28738" TargetMode="External" /><Relationship Type="http://schemas.openxmlformats.org/officeDocument/2006/relationships/hyperlink" Id="rId100" Target="https://doi.org/10.1007/s10708-022-10802-5" TargetMode="External" /><Relationship Type="http://schemas.openxmlformats.org/officeDocument/2006/relationships/hyperlink" Id="rId76" Target="https://doi.org/10.1007/s10900-020-00958-x" TargetMode="External" /><Relationship Type="http://schemas.openxmlformats.org/officeDocument/2006/relationships/hyperlink" Id="rId74" Target="https://doi.org/10.1007/s11606-021-06743-3" TargetMode="External" /><Relationship Type="http://schemas.openxmlformats.org/officeDocument/2006/relationships/hyperlink" Id="rId96" Target="https://doi.org/10.1016/j.amepre.2022.06.006" TargetMode="External" /><Relationship Type="http://schemas.openxmlformats.org/officeDocument/2006/relationships/hyperlink" Id="rId173" Target="https://doi.org/10.1016/j.annepidem.2021.07.010" TargetMode="External" /><Relationship Type="http://schemas.openxmlformats.org/officeDocument/2006/relationships/hyperlink" Id="rId90" Target="https://doi.org/10.1016/j.eclinm.2020.100495" TargetMode="External" /><Relationship Type="http://schemas.openxmlformats.org/officeDocument/2006/relationships/hyperlink" Id="rId106" Target="https://doi.org/10.1016/j.vaccine.2021.10.077" TargetMode="External" /><Relationship Type="http://schemas.openxmlformats.org/officeDocument/2006/relationships/hyperlink" Id="rId134" Target="https://doi.org/10.1016/j.vaccine.2021.11.040" TargetMode="External" /><Relationship Type="http://schemas.openxmlformats.org/officeDocument/2006/relationships/hyperlink" Id="rId82" Target="https://doi.org/10.1016/j.vaccine.2022.04.030" TargetMode="External" /><Relationship Type="http://schemas.openxmlformats.org/officeDocument/2006/relationships/hyperlink" Id="rId58" Target="https://doi.org/10.1016/s1473-3099(22)00320-6" TargetMode="External" /><Relationship Type="http://schemas.openxmlformats.org/officeDocument/2006/relationships/hyperlink" Id="rId50" Target="https://doi.org/10.1016/s2666-5247(20)30226-3" TargetMode="External" /><Relationship Type="http://schemas.openxmlformats.org/officeDocument/2006/relationships/hyperlink" Id="rId88" Target="https://doi.org/10.1017/s0033291720005188" TargetMode="External" /><Relationship Type="http://schemas.openxmlformats.org/officeDocument/2006/relationships/hyperlink" Id="rId62" Target="https://doi.org/10.1038/d41586-021-02532-4" TargetMode="External" /><Relationship Type="http://schemas.openxmlformats.org/officeDocument/2006/relationships/hyperlink" Id="rId92" Target="https://doi.org/10.1080/07853890.2021.1957998" TargetMode="External" /><Relationship Type="http://schemas.openxmlformats.org/officeDocument/2006/relationships/hyperlink" Id="rId157" Target="https://doi.org/10.1093/aje/kwac029" TargetMode="External" /><Relationship Type="http://schemas.openxmlformats.org/officeDocument/2006/relationships/hyperlink" Id="rId98" Target="https://doi.org/10.1093/aje/kwac080" TargetMode="External" /><Relationship Type="http://schemas.openxmlformats.org/officeDocument/2006/relationships/hyperlink" Id="rId54" Target="https://doi.org/10.1093/cjres/rsac043" TargetMode="External" /><Relationship Type="http://schemas.openxmlformats.org/officeDocument/2006/relationships/hyperlink" Id="rId130" Target="https://doi.org/10.1093/intqhc/mzab110" TargetMode="External" /><Relationship Type="http://schemas.openxmlformats.org/officeDocument/2006/relationships/hyperlink" Id="rId155" Target="https://doi.org/10.1097/phh.0000000000001565" TargetMode="External" /><Relationship Type="http://schemas.openxmlformats.org/officeDocument/2006/relationships/hyperlink" Id="rId86" Target="https://doi.org/10.1097/qai.0000000000002570" TargetMode="External" /><Relationship Type="http://schemas.openxmlformats.org/officeDocument/2006/relationships/hyperlink" Id="rId102" Target="https://doi.org/10.1101/2022.08.30.22279415" TargetMode="External" /><Relationship Type="http://schemas.openxmlformats.org/officeDocument/2006/relationships/hyperlink" Id="rId52" Target="https://doi.org/10.1111/bjhp.12546" TargetMode="External" /><Relationship Type="http://schemas.openxmlformats.org/officeDocument/2006/relationships/hyperlink" Id="rId179" Target="https://doi.org/10.1111/cag.12557" TargetMode="External" /><Relationship Type="http://schemas.openxmlformats.org/officeDocument/2006/relationships/hyperlink" Id="rId70" Target="https://doi.org/10.1111/cts.13077" TargetMode="External" /><Relationship Type="http://schemas.openxmlformats.org/officeDocument/2006/relationships/hyperlink" Id="rId192" Target="https://doi.org/10.1111/irv.13023" TargetMode="External" /><Relationship Type="http://schemas.openxmlformats.org/officeDocument/2006/relationships/hyperlink" Id="rId66" Target="https://doi.org/10.1136/bmj-2022-070650" TargetMode="External" /><Relationship Type="http://schemas.openxmlformats.org/officeDocument/2006/relationships/hyperlink" Id="rId56" Target="https://doi.org/10.1136/bmj.m4799" TargetMode="External" /><Relationship Type="http://schemas.openxmlformats.org/officeDocument/2006/relationships/hyperlink" Id="rId68" Target="https://doi.org/10.1136/bmjopen-2021-053402" TargetMode="External" /><Relationship Type="http://schemas.openxmlformats.org/officeDocument/2006/relationships/hyperlink" Id="rId182" Target="https://doi.org/10.1177/17151635221115411" TargetMode="External" /><Relationship Type="http://schemas.openxmlformats.org/officeDocument/2006/relationships/hyperlink" Id="rId167" Target="https://doi.org/10.1177/17151635221123042" TargetMode="External" /><Relationship Type="http://schemas.openxmlformats.org/officeDocument/2006/relationships/hyperlink" Id="rId114" Target="https://doi.org/10.1177/20438869221147313" TargetMode="External" /><Relationship Type="http://schemas.openxmlformats.org/officeDocument/2006/relationships/hyperlink" Id="rId104" Target="https://doi.org/10.1177/23780231211052946" TargetMode="External" /><Relationship Type="http://schemas.openxmlformats.org/officeDocument/2006/relationships/hyperlink" Id="rId112" Target="https://doi.org/10.1186/s12877-018-0952-7" TargetMode="External" /><Relationship Type="http://schemas.openxmlformats.org/officeDocument/2006/relationships/hyperlink" Id="rId72" Target="https://doi.org/10.1186/s12884-021-04321-3" TargetMode="External" /><Relationship Type="http://schemas.openxmlformats.org/officeDocument/2006/relationships/hyperlink" Id="rId78" Target="https://doi.org/10.1186/s12889-022-14090-z" TargetMode="External" /><Relationship Type="http://schemas.openxmlformats.org/officeDocument/2006/relationships/hyperlink" Id="rId126" Target="https://doi.org/10.1186/s12913-023-09102-6" TargetMode="External" /><Relationship Type="http://schemas.openxmlformats.org/officeDocument/2006/relationships/hyperlink" Id="rId140" Target="https://doi.org/10.1214/aoms/1177731829" TargetMode="External" /><Relationship Type="http://schemas.openxmlformats.org/officeDocument/2006/relationships/hyperlink" Id="rId132" Target="https://doi.org/10.12927/hcq.2010.21923" TargetMode="External" /><Relationship Type="http://schemas.openxmlformats.org/officeDocument/2006/relationships/hyperlink" Id="rId151" Target="https://doi.org/10.1371/journal.pone.0191184" TargetMode="External" /><Relationship Type="http://schemas.openxmlformats.org/officeDocument/2006/relationships/hyperlink" Id="rId64" Target="https://doi.org/10.1371/journal.pone.0258462" TargetMode="External" /><Relationship Type="http://schemas.openxmlformats.org/officeDocument/2006/relationships/hyperlink" Id="rId80" Target="https://doi.org/10.1371/journal.pone.0259513" TargetMode="External" /><Relationship Type="http://schemas.openxmlformats.org/officeDocument/2006/relationships/hyperlink" Id="rId84" Target="https://doi.org/10.1503/cmaj.210112" TargetMode="External" /><Relationship Type="http://schemas.openxmlformats.org/officeDocument/2006/relationships/hyperlink" Id="rId188" Target="https://doi.org/10.1503/cmaj.210949" TargetMode="External" /><Relationship Type="http://schemas.openxmlformats.org/officeDocument/2006/relationships/hyperlink" Id="rId186" Target="https://doi.org/10.1503/cmaj.212147" TargetMode="External" /><Relationship Type="http://schemas.openxmlformats.org/officeDocument/2006/relationships/hyperlink" Id="rId147" Target="https://doi.org/10.18637/jss.v103.i01" TargetMode="External" /><Relationship Type="http://schemas.openxmlformats.org/officeDocument/2006/relationships/hyperlink" Id="rId143" Target="https://doi.org/10.21105/joss.01686" TargetMode="External" /><Relationship Type="http://schemas.openxmlformats.org/officeDocument/2006/relationships/hyperlink" Id="rId122" Target="https://doi.org/10.21203/rs.3.rs-3016276/v1" TargetMode="External" /><Relationship Type="http://schemas.openxmlformats.org/officeDocument/2006/relationships/hyperlink" Id="rId128" Target="https://doi.org/10.2196/37920" TargetMode="External" /><Relationship Type="http://schemas.openxmlformats.org/officeDocument/2006/relationships/hyperlink" Id="rId177" Target="https://doi.org/10.3201/eid2711.211557" TargetMode="External" /><Relationship Type="http://schemas.openxmlformats.org/officeDocument/2006/relationships/hyperlink" Id="rId149" Target="https://doi.org/10.32614/RJ-2021-053" TargetMode="External" /><Relationship Type="http://schemas.openxmlformats.org/officeDocument/2006/relationships/hyperlink" Id="rId136" Target="https://doi.org/10.3389/fimmu.2021.558270" TargetMode="External" /><Relationship Type="http://schemas.openxmlformats.org/officeDocument/2006/relationships/hyperlink" Id="rId94" Target="https://doi.org/10.3390/ijerph18189488" TargetMode="External" /><Relationship Type="http://schemas.openxmlformats.org/officeDocument/2006/relationships/hyperlink" Id="rId163" Target="https://doi.org/10.3390/ijerph18189904" TargetMode="External" /><Relationship Type="http://schemas.openxmlformats.org/officeDocument/2006/relationships/hyperlink" Id="rId159" Target="https://doi.org/10.3390/vaccines10111937" TargetMode="External" /><Relationship Type="http://schemas.openxmlformats.org/officeDocument/2006/relationships/hyperlink" Id="rId175" Target="https://doi.org/10.47326/ocsat.2021.02.26.1.0" TargetMode="External" /><Relationship Type="http://schemas.openxmlformats.org/officeDocument/2006/relationships/hyperlink" Id="rId120" Target="https://doi.org/10.47326/ocsat.2021.02.35.1.0" TargetMode="External" /><Relationship Type="http://schemas.openxmlformats.org/officeDocument/2006/relationships/hyperlink" Id="rId110" Target="https://doi.org/10.5334/ijic.843" TargetMode="External" /><Relationship Type="http://schemas.openxmlformats.org/officeDocument/2006/relationships/hyperlink" Id="rId60" Target="https://doi.org/10.5582/ddt.2021.0105" TargetMode="External" /><Relationship Type="http://schemas.openxmlformats.org/officeDocument/2006/relationships/hyperlink" Id="rId48" Target="https://doi.org/10.7326/m20-6306" TargetMode="External" /><Relationship Type="http://schemas.openxmlformats.org/officeDocument/2006/relationships/hyperlink" Id="rId23" Target="https://github.com/aimundo/Fields_COVID-19/" TargetMode="External" /><Relationship Type="http://schemas.openxmlformats.org/officeDocument/2006/relationships/hyperlink" Id="rId46" Target="https://news.un.org/en/story/2023/05/1136367" TargetMode="External" /><Relationship Type="http://schemas.openxmlformats.org/officeDocument/2006/relationships/hyperlink" Id="rId116" Target="https://www.auditor.on.ca/en/content/annualreports/arreports/en15/3.08en15.pdf" TargetMode="External" /><Relationship Type="http://schemas.openxmlformats.org/officeDocument/2006/relationships/hyperlink" Id="rId118" Target="https://www.auditor.on.ca/en/content/annualreports/arreports/en16/v1_303en16.pdf" TargetMode="External" /><Relationship Type="http://schemas.openxmlformats.org/officeDocument/2006/relationships/hyperlink" Id="rId108" Target="https://www.canada.ca/en/public-health/services/publications/vaccines-immunization/national-advisory-committee-immunization-guidance-additional-covid-19-booster-dose-spring-2023-individuals-high-risk-severe-illness-due-covid-19.html" TargetMode="External" /><Relationship Type="http://schemas.openxmlformats.org/officeDocument/2006/relationships/hyperlink" Id="rId124" Target="https://www.mcmasterforum.org/docs/default-source/product-documents/rapid-responses/examining-the-intersections-between-ontario-health-teams-and-public-health.pdf?sfvrsn=69caa8c9_11" TargetMode="External" /><Relationship Type="http://schemas.openxmlformats.org/officeDocument/2006/relationships/hyperlink" Id="rId153" Target="https://www.ohesi.ca/technical-notes/health-regions/" TargetMode="External" /><Relationship Type="http://schemas.openxmlformats.org/officeDocument/2006/relationships/hyperlink" Id="rId184" Target="https://www.ontariohealth.ca/sites/ontariohealth/files/2022-05/OHBusinessPlan22_23.pdf" TargetMode="External" /><Relationship Type="http://schemas.openxmlformats.org/officeDocument/2006/relationships/hyperlink" Id="rId194" Target="https://www.publichealthontario.ca/en/data-and-analysis/infectious-disease/covid-19-data-surveillance/covid-19-data-tool?tab=vaccine" TargetMode="External" /><Relationship Type="http://schemas.openxmlformats.org/officeDocument/2006/relationships/hyperlink" Id="rId44" Target="https://www.reuters.com/business/healthcare-pharmaceuticals/covid-is-no-longer-global-health-emergency-who-2023-05-05/" TargetMode="External" /><Relationship Type="http://schemas.openxmlformats.org/officeDocument/2006/relationships/hyperlink" Id="rId165" Target="https://www.wellesleyinstitute.com/wp-content/uploads/2021/04/An-uneven-recovery-Measuring-COVID-19-vaccine-equity-in-Ontario.pdf" TargetMode="External" /></Relationships>
</file>

<file path=word/_rels/footnotes.xml.rels><?xml version="1.0" encoding="UTF-8"?><Relationships xmlns="http://schemas.openxmlformats.org/package/2006/relationships"><Relationship Type="http://schemas.openxmlformats.org/officeDocument/2006/relationships/hyperlink" Id="rId145" Target="https://CRAN.R-project.org/package=quarto" TargetMode="External" /><Relationship Type="http://schemas.openxmlformats.org/officeDocument/2006/relationships/hyperlink" Id="rId42" Target="https://covid19.who.int/" TargetMode="External" /><Relationship Type="http://schemas.openxmlformats.org/officeDocument/2006/relationships/hyperlink" Id="rId190" Target="https://doi.org/10.1001/jama.2020.8711" TargetMode="External" /><Relationship Type="http://schemas.openxmlformats.org/officeDocument/2006/relationships/hyperlink" Id="rId169" Target="https://doi.org/10.1002/ajim.23145" TargetMode="External" /><Relationship Type="http://schemas.openxmlformats.org/officeDocument/2006/relationships/hyperlink" Id="rId171" Target="https://doi.org/10.1002/ajim.23256" TargetMode="External" /><Relationship Type="http://schemas.openxmlformats.org/officeDocument/2006/relationships/hyperlink" Id="rId138" Target="https://doi.org/10.1002/jmv.28156" TargetMode="External" /><Relationship Type="http://schemas.openxmlformats.org/officeDocument/2006/relationships/hyperlink" Id="rId161" Target="https://doi.org/10.1002/jmv.28738" TargetMode="External" /><Relationship Type="http://schemas.openxmlformats.org/officeDocument/2006/relationships/hyperlink" Id="rId100" Target="https://doi.org/10.1007/s10708-022-10802-5" TargetMode="External" /><Relationship Type="http://schemas.openxmlformats.org/officeDocument/2006/relationships/hyperlink" Id="rId76" Target="https://doi.org/10.1007/s10900-020-00958-x" TargetMode="External" /><Relationship Type="http://schemas.openxmlformats.org/officeDocument/2006/relationships/hyperlink" Id="rId74" Target="https://doi.org/10.1007/s11606-021-06743-3" TargetMode="External" /><Relationship Type="http://schemas.openxmlformats.org/officeDocument/2006/relationships/hyperlink" Id="rId96" Target="https://doi.org/10.1016/j.amepre.2022.06.006" TargetMode="External" /><Relationship Type="http://schemas.openxmlformats.org/officeDocument/2006/relationships/hyperlink" Id="rId173" Target="https://doi.org/10.1016/j.annepidem.2021.07.010" TargetMode="External" /><Relationship Type="http://schemas.openxmlformats.org/officeDocument/2006/relationships/hyperlink" Id="rId90" Target="https://doi.org/10.1016/j.eclinm.2020.100495" TargetMode="External" /><Relationship Type="http://schemas.openxmlformats.org/officeDocument/2006/relationships/hyperlink" Id="rId106" Target="https://doi.org/10.1016/j.vaccine.2021.10.077" TargetMode="External" /><Relationship Type="http://schemas.openxmlformats.org/officeDocument/2006/relationships/hyperlink" Id="rId134" Target="https://doi.org/10.1016/j.vaccine.2021.11.040" TargetMode="External" /><Relationship Type="http://schemas.openxmlformats.org/officeDocument/2006/relationships/hyperlink" Id="rId82" Target="https://doi.org/10.1016/j.vaccine.2022.04.030" TargetMode="External" /><Relationship Type="http://schemas.openxmlformats.org/officeDocument/2006/relationships/hyperlink" Id="rId58" Target="https://doi.org/10.1016/s1473-3099(22)00320-6" TargetMode="External" /><Relationship Type="http://schemas.openxmlformats.org/officeDocument/2006/relationships/hyperlink" Id="rId50" Target="https://doi.org/10.1016/s2666-5247(20)30226-3" TargetMode="External" /><Relationship Type="http://schemas.openxmlformats.org/officeDocument/2006/relationships/hyperlink" Id="rId88" Target="https://doi.org/10.1017/s0033291720005188" TargetMode="External" /><Relationship Type="http://schemas.openxmlformats.org/officeDocument/2006/relationships/hyperlink" Id="rId62" Target="https://doi.org/10.1038/d41586-021-02532-4" TargetMode="External" /><Relationship Type="http://schemas.openxmlformats.org/officeDocument/2006/relationships/hyperlink" Id="rId92" Target="https://doi.org/10.1080/07853890.2021.1957998" TargetMode="External" /><Relationship Type="http://schemas.openxmlformats.org/officeDocument/2006/relationships/hyperlink" Id="rId157" Target="https://doi.org/10.1093/aje/kwac029" TargetMode="External" /><Relationship Type="http://schemas.openxmlformats.org/officeDocument/2006/relationships/hyperlink" Id="rId98" Target="https://doi.org/10.1093/aje/kwac080" TargetMode="External" /><Relationship Type="http://schemas.openxmlformats.org/officeDocument/2006/relationships/hyperlink" Id="rId54" Target="https://doi.org/10.1093/cjres/rsac043" TargetMode="External" /><Relationship Type="http://schemas.openxmlformats.org/officeDocument/2006/relationships/hyperlink" Id="rId130" Target="https://doi.org/10.1093/intqhc/mzab110" TargetMode="External" /><Relationship Type="http://schemas.openxmlformats.org/officeDocument/2006/relationships/hyperlink" Id="rId155" Target="https://doi.org/10.1097/phh.0000000000001565" TargetMode="External" /><Relationship Type="http://schemas.openxmlformats.org/officeDocument/2006/relationships/hyperlink" Id="rId86" Target="https://doi.org/10.1097/qai.0000000000002570" TargetMode="External" /><Relationship Type="http://schemas.openxmlformats.org/officeDocument/2006/relationships/hyperlink" Id="rId102" Target="https://doi.org/10.1101/2022.08.30.22279415" TargetMode="External" /><Relationship Type="http://schemas.openxmlformats.org/officeDocument/2006/relationships/hyperlink" Id="rId52" Target="https://doi.org/10.1111/bjhp.12546" TargetMode="External" /><Relationship Type="http://schemas.openxmlformats.org/officeDocument/2006/relationships/hyperlink" Id="rId179" Target="https://doi.org/10.1111/cag.12557" TargetMode="External" /><Relationship Type="http://schemas.openxmlformats.org/officeDocument/2006/relationships/hyperlink" Id="rId70" Target="https://doi.org/10.1111/cts.13077" TargetMode="External" /><Relationship Type="http://schemas.openxmlformats.org/officeDocument/2006/relationships/hyperlink" Id="rId192" Target="https://doi.org/10.1111/irv.13023" TargetMode="External" /><Relationship Type="http://schemas.openxmlformats.org/officeDocument/2006/relationships/hyperlink" Id="rId66" Target="https://doi.org/10.1136/bmj-2022-070650" TargetMode="External" /><Relationship Type="http://schemas.openxmlformats.org/officeDocument/2006/relationships/hyperlink" Id="rId56" Target="https://doi.org/10.1136/bmj.m4799" TargetMode="External" /><Relationship Type="http://schemas.openxmlformats.org/officeDocument/2006/relationships/hyperlink" Id="rId68" Target="https://doi.org/10.1136/bmjopen-2021-053402" TargetMode="External" /><Relationship Type="http://schemas.openxmlformats.org/officeDocument/2006/relationships/hyperlink" Id="rId182" Target="https://doi.org/10.1177/17151635221115411" TargetMode="External" /><Relationship Type="http://schemas.openxmlformats.org/officeDocument/2006/relationships/hyperlink" Id="rId167" Target="https://doi.org/10.1177/17151635221123042" TargetMode="External" /><Relationship Type="http://schemas.openxmlformats.org/officeDocument/2006/relationships/hyperlink" Id="rId114" Target="https://doi.org/10.1177/20438869221147313" TargetMode="External" /><Relationship Type="http://schemas.openxmlformats.org/officeDocument/2006/relationships/hyperlink" Id="rId104" Target="https://doi.org/10.1177/23780231211052946" TargetMode="External" /><Relationship Type="http://schemas.openxmlformats.org/officeDocument/2006/relationships/hyperlink" Id="rId112" Target="https://doi.org/10.1186/s12877-018-0952-7" TargetMode="External" /><Relationship Type="http://schemas.openxmlformats.org/officeDocument/2006/relationships/hyperlink" Id="rId72" Target="https://doi.org/10.1186/s12884-021-04321-3" TargetMode="External" /><Relationship Type="http://schemas.openxmlformats.org/officeDocument/2006/relationships/hyperlink" Id="rId78" Target="https://doi.org/10.1186/s12889-022-14090-z" TargetMode="External" /><Relationship Type="http://schemas.openxmlformats.org/officeDocument/2006/relationships/hyperlink" Id="rId126" Target="https://doi.org/10.1186/s12913-023-09102-6" TargetMode="External" /><Relationship Type="http://schemas.openxmlformats.org/officeDocument/2006/relationships/hyperlink" Id="rId140" Target="https://doi.org/10.1214/aoms/1177731829" TargetMode="External" /><Relationship Type="http://schemas.openxmlformats.org/officeDocument/2006/relationships/hyperlink" Id="rId132" Target="https://doi.org/10.12927/hcq.2010.21923" TargetMode="External" /><Relationship Type="http://schemas.openxmlformats.org/officeDocument/2006/relationships/hyperlink" Id="rId151" Target="https://doi.org/10.1371/journal.pone.0191184" TargetMode="External" /><Relationship Type="http://schemas.openxmlformats.org/officeDocument/2006/relationships/hyperlink" Id="rId64" Target="https://doi.org/10.1371/journal.pone.0258462" TargetMode="External" /><Relationship Type="http://schemas.openxmlformats.org/officeDocument/2006/relationships/hyperlink" Id="rId80" Target="https://doi.org/10.1371/journal.pone.0259513" TargetMode="External" /><Relationship Type="http://schemas.openxmlformats.org/officeDocument/2006/relationships/hyperlink" Id="rId84" Target="https://doi.org/10.1503/cmaj.210112" TargetMode="External" /><Relationship Type="http://schemas.openxmlformats.org/officeDocument/2006/relationships/hyperlink" Id="rId188" Target="https://doi.org/10.1503/cmaj.210949" TargetMode="External" /><Relationship Type="http://schemas.openxmlformats.org/officeDocument/2006/relationships/hyperlink" Id="rId186" Target="https://doi.org/10.1503/cmaj.212147" TargetMode="External" /><Relationship Type="http://schemas.openxmlformats.org/officeDocument/2006/relationships/hyperlink" Id="rId147" Target="https://doi.org/10.18637/jss.v103.i01" TargetMode="External" /><Relationship Type="http://schemas.openxmlformats.org/officeDocument/2006/relationships/hyperlink" Id="rId143" Target="https://doi.org/10.21105/joss.01686" TargetMode="External" /><Relationship Type="http://schemas.openxmlformats.org/officeDocument/2006/relationships/hyperlink" Id="rId122" Target="https://doi.org/10.21203/rs.3.rs-3016276/v1" TargetMode="External" /><Relationship Type="http://schemas.openxmlformats.org/officeDocument/2006/relationships/hyperlink" Id="rId128" Target="https://doi.org/10.2196/37920" TargetMode="External" /><Relationship Type="http://schemas.openxmlformats.org/officeDocument/2006/relationships/hyperlink" Id="rId177" Target="https://doi.org/10.3201/eid2711.211557" TargetMode="External" /><Relationship Type="http://schemas.openxmlformats.org/officeDocument/2006/relationships/hyperlink" Id="rId149" Target="https://doi.org/10.32614/RJ-2021-053" TargetMode="External" /><Relationship Type="http://schemas.openxmlformats.org/officeDocument/2006/relationships/hyperlink" Id="rId136" Target="https://doi.org/10.3389/fimmu.2021.558270" TargetMode="External" /><Relationship Type="http://schemas.openxmlformats.org/officeDocument/2006/relationships/hyperlink" Id="rId94" Target="https://doi.org/10.3390/ijerph18189488" TargetMode="External" /><Relationship Type="http://schemas.openxmlformats.org/officeDocument/2006/relationships/hyperlink" Id="rId163" Target="https://doi.org/10.3390/ijerph18189904" TargetMode="External" /><Relationship Type="http://schemas.openxmlformats.org/officeDocument/2006/relationships/hyperlink" Id="rId159" Target="https://doi.org/10.3390/vaccines10111937" TargetMode="External" /><Relationship Type="http://schemas.openxmlformats.org/officeDocument/2006/relationships/hyperlink" Id="rId175" Target="https://doi.org/10.47326/ocsat.2021.02.26.1.0" TargetMode="External" /><Relationship Type="http://schemas.openxmlformats.org/officeDocument/2006/relationships/hyperlink" Id="rId120" Target="https://doi.org/10.47326/ocsat.2021.02.35.1.0" TargetMode="External" /><Relationship Type="http://schemas.openxmlformats.org/officeDocument/2006/relationships/hyperlink" Id="rId110" Target="https://doi.org/10.5334/ijic.843" TargetMode="External" /><Relationship Type="http://schemas.openxmlformats.org/officeDocument/2006/relationships/hyperlink" Id="rId60" Target="https://doi.org/10.5582/ddt.2021.0105" TargetMode="External" /><Relationship Type="http://schemas.openxmlformats.org/officeDocument/2006/relationships/hyperlink" Id="rId48" Target="https://doi.org/10.7326/m20-6306" TargetMode="External" /><Relationship Type="http://schemas.openxmlformats.org/officeDocument/2006/relationships/hyperlink" Id="rId23" Target="https://github.com/aimundo/Fields_COVID-19/" TargetMode="External" /><Relationship Type="http://schemas.openxmlformats.org/officeDocument/2006/relationships/hyperlink" Id="rId46" Target="https://news.un.org/en/story/2023/05/1136367" TargetMode="External" /><Relationship Type="http://schemas.openxmlformats.org/officeDocument/2006/relationships/hyperlink" Id="rId116" Target="https://www.auditor.on.ca/en/content/annualreports/arreports/en15/3.08en15.pdf" TargetMode="External" /><Relationship Type="http://schemas.openxmlformats.org/officeDocument/2006/relationships/hyperlink" Id="rId118" Target="https://www.auditor.on.ca/en/content/annualreports/arreports/en16/v1_303en16.pdf" TargetMode="External" /><Relationship Type="http://schemas.openxmlformats.org/officeDocument/2006/relationships/hyperlink" Id="rId108" Target="https://www.canada.ca/en/public-health/services/publications/vaccines-immunization/national-advisory-committee-immunization-guidance-additional-covid-19-booster-dose-spring-2023-individuals-high-risk-severe-illness-due-covid-19.html" TargetMode="External" /><Relationship Type="http://schemas.openxmlformats.org/officeDocument/2006/relationships/hyperlink" Id="rId124" Target="https://www.mcmasterforum.org/docs/default-source/product-documents/rapid-responses/examining-the-intersections-between-ontario-health-teams-and-public-health.pdf?sfvrsn=69caa8c9_11" TargetMode="External" /><Relationship Type="http://schemas.openxmlformats.org/officeDocument/2006/relationships/hyperlink" Id="rId153" Target="https://www.ohesi.ca/technical-notes/health-regions/" TargetMode="External" /><Relationship Type="http://schemas.openxmlformats.org/officeDocument/2006/relationships/hyperlink" Id="rId184" Target="https://www.ontariohealth.ca/sites/ontariohealth/files/2022-05/OHBusinessPlan22_23.pdf" TargetMode="External" /><Relationship Type="http://schemas.openxmlformats.org/officeDocument/2006/relationships/hyperlink" Id="rId194" Target="https://www.publichealthontario.ca/en/data-and-analysis/infectious-disease/covid-19-data-surveillance/covid-19-data-tool?tab=vaccine" TargetMode="External" /><Relationship Type="http://schemas.openxmlformats.org/officeDocument/2006/relationships/hyperlink" Id="rId44" Target="https://www.reuters.com/business/healthcare-pharmaceuticals/covid-is-no-longer-global-health-emergency-who-2023-05-05/" TargetMode="External" /><Relationship Type="http://schemas.openxmlformats.org/officeDocument/2006/relationships/hyperlink" Id="rId165" Target="https://www.wellesleyinstitute.com/wp-content/uploads/2021/04/An-uneven-recovery-Measuring-COVID-19-vaccine-equity-in-Ontario.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Socio-demographic determinants of COVID-19 vaccine uptake in Ontario: Exploring differences across the Health Region model</dc:title>
  <dc:creator>Ariel Mundo Ortiz; Bouchra Nasri</dc:creator>
  <cp:keywords/>
  <dcterms:created xsi:type="dcterms:W3CDTF">2023-07-18T19:28:38Z</dcterms:created>
  <dcterms:modified xsi:type="dcterms:W3CDTF">2023-07-18T19:28:38Z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references/refs.bib</vt:lpwstr>
  </property>
  <property fmtid="{D5CDD505-2E9C-101B-9397-08002B2CF9AE}" pid="6" name="by-affiliation">
    <vt:lpwstr/>
  </property>
  <property fmtid="{D5CDD505-2E9C-101B-9397-08002B2CF9AE}" pid="7" name="by-author">
    <vt:lpwstr/>
  </property>
  <property fmtid="{D5CDD505-2E9C-101B-9397-08002B2CF9AE}" pid="8" name="csl">
    <vt:lpwstr>references/jama.csl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