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greenelab/covid19-review@8ec56c4</w:t>
        </w:r>
      </w:hyperlink>
      <w:r>
        <w:t xml:space="preserve"> </w:t>
      </w:r>
      <w:r>
        <w:t xml:space="preserve">on September 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August 31, 2021, 217,707,751 COVID-19 cases and 4,530,74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49508124b8bf7c7052a30169e499f805cedf5843/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31, 2021, 217,707,751 COVID-19 cases and 4,530,746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49508124b8bf7c7052a30169e499f805cedf5843/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ec56c4c2c4de869e81996f41101a3d64a44dae6"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ec56c4c2c4de869e81996f41101a3d64a44dae6/"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ec56c4c2c4de869e81996f41101a3d64a44dae6"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ec56c4c2c4de869e81996f41101a3d64a44dae6/"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2021-09-02T19:45:20Z</dcterms:created>
  <dcterms:modified xsi:type="dcterms:W3CDTF">2021-09-02T19:45:20Z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